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InstitutsVergV 2014 — Voraussetzungen für die Festsetzung des Gesamtbetrags der variablen Vergütung und die Erdienung zurückbehaltener Vergütungsbestandteile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22.02.2023 (konsolidierte Textfassung, kein amtliches Inkrafttretensdatum)</w:t>
      </w:r>
    </w:p>
    <w:p>
      <w:r>
        <w:t xml:space="preserve">(1) Der Gesamtbetrag der variablen Vergütungen gemäß § 45 Absatz 2 Nummer 10 des Kreditwesengesetzes muss in einem formalisierten, transparenten und nachvollziehbaren Prozess unter angemessener und ihrem Aufgabenbereich entsprechender Beteiligung der Kontrolleinheiten festgesetzt werden. Die Verantwortlichkeiten gemäß § 3 gelten entsprechend. Bei der Festsetzung des Gesamtbetrags</w:t>
      </w:r>
    </w:p>
    <w:p>
      <w:pPr>
        <w:ind w:left="420"/>
      </w:pPr>
      <w:r>
        <w:t xml:space="preserve">1. sind die Risikotragfähigkeit, die mehrjährige Kapitalplanung und die Ertragslage des Instituts und der Gruppe hinreichend zu berücksichtigen und</w:t>
      </w:r>
    </w:p>
    <w:p>
      <w:pPr>
        <w:ind w:left="420"/>
      </w:pPr>
      <w:r>
        <w:t xml:space="preserve">2. ist sicherzustellen, dass das Institut und die Gruppe in der Lage sind,</w:t>
      </w:r>
    </w:p>
    <w:p>
      <w:pPr>
        <w:ind w:left="780"/>
      </w:pPr>
      <w:r>
        <w:t xml:space="preserve">a) eine angemessene Eigenmittel- und Liquiditätsausstattung,</w:t>
      </w:r>
    </w:p>
    <w:p>
      <w:pPr>
        <w:ind w:left="780"/>
      </w:pPr>
      <w:r>
        <w:t xml:space="preserve">b) die kombinierten Kapitalpufferanforderungen gemäß § 10i des Kreditwesengesetzes und</w:t>
      </w:r>
    </w:p>
    <w:p>
      <w:pPr>
        <w:ind w:left="780"/>
      </w:pPr>
      <w:r>
        <w:t xml:space="preserve">c) sofern es sich um ein global systemrelevantes Institut handelt, die Anforderung an den Puffer der Verschuldungsquote gemäß § 10j des Kreditwesengesetzes</w:t>
      </w:r>
    </w:p>
    <w:p>
      <w:pPr>
        <w:ind w:left="420"/>
      </w:pPr>
      <w:r>
        <w:t xml:space="preserve">dauerhaft aufrechtzuerhalten oder wiederherzustellen.</w:t>
      </w:r>
    </w:p>
    <w:p>
      <w:r>
        <w:t xml:space="preserve">(2) Eine Ermittlung und eine Erdienung von variabler Vergütung darf nur erfolgen, wenn und soweit zu den jeweiligen Zeitpunkten die Voraussetzungen gemäß Absatz 1 Satz 3 erfüllt sind. Ein späterer Ausgleich für eine Verringerung der variablen Vergütung ist nicht zulässig.</w:t>
      </w:r>
    </w:p>
    <w:p>
      <w:r>
        <w:rPr>
          <w:color w:val="555555"/>
          <w:sz w:val="17"/>
        </w:rPr>
        <w:t xml:space="preserve">Zitiervorschlag: § 7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