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InstitutsVergV 2014 — Angemessenheit der Vergütung und der Vergütungssysteme</w:t>
      </w:r>
    </w:p>
    <w:p>
      <w:r>
        <w:rPr>
          <w:color w:val="555555"/>
          <w:sz w:val="18"/>
        </w:rPr>
        <w:t xml:space="preserve">Institutsvergütungsverordnung</w:t>
      </w:r>
    </w:p>
    <w:p>
      <w:r>
        <w:rPr>
          <w:color w:val="555555"/>
          <w:sz w:val="18"/>
        </w:rPr>
        <w:t xml:space="preserve">Stand: 10.04.2026 (konsolidierte Textfassung, kein amtliches Inkrafttretensdatum)</w:t>
      </w:r>
    </w:p>
    <w:p>
      <w:r>
        <w:t xml:space="preserve">(1) Die Vergütungssysteme sind angemessen ausgestaltet, wenn</w:t>
      </w:r>
    </w:p>
    <w:p>
      <w:pPr>
        <w:ind w:left="420"/>
      </w:pPr>
      <w:r>
        <w:t xml:space="preserve">1. Anreize für die Mitarbeiter und Mitarbeiterinnen, unverhältnismäßig hohe Risiken einzugehen, vermieden werden;</w:t>
      </w:r>
    </w:p>
    <w:p>
      <w:pPr>
        <w:ind w:left="420"/>
      </w:pPr>
      <w:r>
        <w:t xml:space="preserve">1a. im Falle einer leistungsabhängigen Vergütung finanzielle und nichtfinanzielle Kriterien berücksichtigt werden, einschließlich solcher nach § 4 Satz 4;</w:t>
      </w:r>
    </w:p>
    <w:p>
      <w:pPr>
        <w:ind w:left="420"/>
      </w:pPr>
      <w:r>
        <w:t xml:space="preserve">2. die Vergütungssysteme nicht der Überwachungsfunktion der Kontrolleinheiten und des für die Risikosteuerung zuständigen Mitglieds der Geschäftsleitung zuwiderlaufen;</w:t>
      </w:r>
    </w:p>
    <w:p>
      <w:pPr>
        <w:ind w:left="420"/>
      </w:pPr>
      <w:r>
        <w:t xml:space="preserve">3. sie die Verbraucherrechte und -interessen berücksichtigen; insbesondere dürfen nicht ausschließlich quantitative Vergütungsparameter verwendet werden, sofern unmittelbar Verbraucherinteressen betroffen sind;</w:t>
      </w:r>
    </w:p>
    <w:p>
      <w:pPr>
        <w:ind w:left="420"/>
      </w:pPr>
      <w:r>
        <w:t xml:space="preserve">4. sie nicht der Einhaltung der Verpflichtung zuwiderlaufen, bei der Erbringung von Beratungsleistungen gemäß § 511 des Bürgerlichen Gesetzbuchs im besten Interesse des Darlehensnehmers zu handeln; insbesondere darf die Vergütung nicht an Absatzziele in Bezug auf Immobiliar-Verbraucherdarlehensverträge gemäß § 491 Absatz 3 des Bürgerlichen Gesetzbuchs gekoppelt sein;</w:t>
      </w:r>
    </w:p>
    <w:p>
      <w:pPr>
        <w:ind w:left="420"/>
      </w:pPr>
      <w:r>
        <w:t xml:space="preserve">5. die Vergütung der für die Prüfung der Kreditwürdigkeit zuständigen Mitarbeiter und Mitarbeiterinnen nicht von der Zahl oder dem Anteil der genehmigten Anträge auf Abschluss eines Immobiliar-Verbraucherdarlehensvertrags gemäß § 491 Absatz 3 des Bürgerlichen Gesetzbuchs abhängt; und</w:t>
      </w:r>
    </w:p>
    <w:p>
      <w:pPr>
        <w:ind w:left="420"/>
      </w:pPr>
      <w:r>
        <w:t xml:space="preserve">6. sie geschlechtsneutral sind, so dass eine Entgeltbenachteiligung wegen des Geschlechts bei gleicher oder gleichwertiger Arbeit ausgeschlossen ist.</w:t>
      </w:r>
    </w:p>
    <w:p>
      <w:r>
        <w:t xml:space="preserve">(2) In der Regel sind Vergütungssysteme nicht angemessen ausgestaltet, wenn trotz negativer Erfolgsbeiträge ein der Höhe nach unveränderter Anspruch auf die variable Vergütung besteht.</w:t>
      </w:r>
    </w:p>
    <w:p>
      <w:r>
        <w:t xml:space="preserve">(3) Anreize, unverhältnismäßig hohe Risiken einzugehen, liegen insbesondere vor, wenn</w:t>
      </w:r>
    </w:p>
    <w:p>
      <w:pPr>
        <w:ind w:left="420"/>
      </w:pPr>
      <w:r>
        <w:t xml:space="preserve">1. eine signifikante Abhängigkeit der Mitarbeiter oder Mitarbeiterinnen von der variablen Vergütung besteht oder</w:t>
      </w:r>
    </w:p>
    <w:p>
      <w:pPr>
        <w:ind w:left="420"/>
      </w:pPr>
      <w:r>
        <w:t xml:space="preserve">2. einzelvertraglich für den Fall der Beendigung der Tätigkeit Ansprüche auf Leistungen begründet werden und diese Ansprüche selbst bei negativen individuellen Erfolgsbeiträgen oder bei Fehlverhalten der Höhe nach unverändert bleiben.</w:t>
      </w:r>
    </w:p>
    <w:p>
      <w:r>
        <w:t xml:space="preserve">(4) Vergütungssysteme laufen der Überwachungsfunktion der Kontrolleinheiten insbesondere zuwider, wenn sich die Höhe der variablen Vergütung von Mitarbeitern und Mitarbeiterinnen der Kontrolleinheiten und den Mitarbeitern und Mitarbeiterinnen der von ihnen kontrollierten Organisationseinheiten maßgeblich nach gleichlaufenden Vergütungsparametern bestimmt und die Gefahr eines Interessenkonfliktes besteht. Im Hinblick auf das für die Risikosteuerung zuständige Mitglied der Geschäftsleitung gilt dies entsprechend.</w:t>
      </w:r>
    </w:p>
    <w:p>
      <w:r>
        <w:t xml:space="preserve">(5) Eine variable Vergütung darf nur garantiert werden</w:t>
      </w:r>
    </w:p>
    <w:p>
      <w:pPr>
        <w:ind w:left="420"/>
      </w:pPr>
      <w:r>
        <w:t xml:space="preserve">1. für die ersten zwölf Monate nach Aufnahme eines Arbeits-, Geschäftsbesorgungs- oder Dienstverhältnisses bei dem Institut,</w:t>
      </w:r>
    </w:p>
    <w:p>
      <w:pPr>
        <w:ind w:left="420"/>
      </w:pPr>
      <w:r>
        <w:t xml:space="preserve">2. unter der Voraussetzung, dass die unmittelbar vorangegangene Tätigkeit des Mitarbeiters oder der Mitarbeiterin nicht in derselben Gruppe erfolgte, und</w:t>
      </w:r>
    </w:p>
    <w:p>
      <w:pPr>
        <w:ind w:left="420"/>
      </w:pPr>
      <w:r>
        <w:t xml:space="preserve">3. unter der Bedingung, dass das Institut zum Zeitpunkt der Auszahlung die Anforderungen gemäß § 7 Absatz 1 Satz 3 erfüllt.</w:t>
      </w:r>
    </w:p>
    <w:p>
      <w:r>
        <w:t xml:space="preserve">In bedeutenden Instituten gemäß § 1 Absatz 3c des Kreditwesengesetzes sind die Anforderungen der §§ 20 und 22 darauf nicht anzuwenden. Bei der Berechnung des Verhältnisses zwischen der variablen und der fixen jährlichen Vergütung gemäß § 25a Absatz 5 des Kreditwesengesetzes kann eine garantierte variable Vergütung nur dann unberücksichtigt bleiben, wenn sie vor Beginn der Tätigkeit zugesagt worden ist.</w:t>
      </w:r>
    </w:p>
    <w:p>
      <w:r>
        <w:t xml:space="preserve">(6) Abfindungen und vertraglich festgelegte Karenzentschädigungen für die Dauer eines nachvertraglichen Wettbewerbsverbots gelten als variable Vergütung. Das Institut hat in Bezug auf die Zusage von Abfindungen schriftlich oder elektronisch Grundsätze festzulegen, in denen insbesondere ein Höchstbetrag oder die Kriterien für die Bestimmung der Abfindungsbeträge zu regeln sind. Abfindungen sind im Einklang mit dem Rahmenkonzept gemäß § 11 Absatz 1 Nummer 3 zu gewähren und angemessen zu dokumentieren. Sie müssen vorbehaltlich Satz 5 der Leistung des Mitarbeiters oder der Mitarbeiterin im Zeitverlauf Rechnung tragen und dürfen negative Erfolgsbeiträge oder Fehlverhalten des Mitarbeiters oder der Mitarbeiterin nicht belohnen. Folgende Vergütungen fallen nicht in den Anwendungsbereich der §§ 7 und 20 und müssen bei der Berechnung des Verhältnisses der variablen zur fixen Vergütung gemäß § 25a Absatz 5 Satz 2 bis 5 des Kreditwesengesetzes nicht berücksichtigt werden:</w:t>
      </w:r>
    </w:p>
    <w:p>
      <w:pPr>
        <w:ind w:left="420"/>
      </w:pPr>
      <w:r>
        <w:t xml:space="preserve">1. Abfindungen,</w:t>
      </w:r>
    </w:p>
    <w:p>
      <w:pPr>
        <w:ind w:left="780"/>
      </w:pPr>
      <w:r>
        <w:t xml:space="preserve">a) auf die ein gesetzlicher Anspruch besteht,</w:t>
      </w:r>
    </w:p>
    <w:p>
      <w:pPr>
        <w:ind w:left="780"/>
      </w:pPr>
      <w:r>
        <w:t xml:space="preserve">b) die aufgrund eines Sozialplans gemäß § 112 Absatz 1 des Betriebsverfassungsgesetzes oder gemäß § 79 Absatz 1 Nummer 5 des Bundespersonalvertretungsgesetzes oder gemäß den entsprechenden landesrechtlichen Regelungen geleistet werden,</w:t>
      </w:r>
    </w:p>
    <w:p>
      <w:pPr>
        <w:ind w:left="780"/>
      </w:pPr>
      <w:r>
        <w:t xml:space="preserve">c) die aufgrund eines rechtskräftigen Urteils oder Prozessvergleichs zu leisten sind, oder</w:t>
      </w:r>
    </w:p>
    <w:p>
      <w:pPr>
        <w:ind w:left="780"/>
      </w:pPr>
      <w:r>
        <w:t xml:space="preserve">d) die im Fall einer einvernehmlichen oder institutsseitigen betriebsbedingten Vertragsbeendigung oder bei Abwendung eines unmittelbar drohenden gerichtlichen Verfahrens einen Betrag nicht überschreiten, der anhand einer vorher in den Grundsätzen gemäß Satz 2 festgelegten allgemeinen Formel berechnet wurde;</w:t>
      </w:r>
    </w:p>
    <w:p>
      <w:pPr>
        <w:ind w:left="420"/>
      </w:pPr>
      <w:r>
        <w:t xml:space="preserve">2. vertraglich festgelegten Karenzentschädigungen für die Dauer eines nachvertraglichen Wettbewerbsverbots, sofern die Zahlungen vorbehaltlich § 74 Absatz 2 des Handelsgesetzbuchs die ursprünglich geschuldete Fixvergütung nicht überschreiten, und</w:t>
      </w:r>
    </w:p>
    <w:p>
      <w:pPr>
        <w:ind w:left="420"/>
      </w:pPr>
      <w:r>
        <w:t xml:space="preserve">3. sonstige Abfindungen, sofern das Institut der Aufsichtsbehörde gemäß § 1 Absatz 5 des Kreditwesengesetzes die Gründe für die Gewährung sowie die Angemessenheit des Betrages schlüssig dargelegt hat; bei Abfindungen bis zu einer Höhe, die</w:t>
      </w:r>
    </w:p>
    <w:p>
      <w:pPr>
        <w:ind w:left="780"/>
      </w:pPr>
      <w:r>
        <w:t xml:space="preserve">a) 200 000 Euro nicht überschreitet und</w:t>
      </w:r>
    </w:p>
    <w:p>
      <w:pPr>
        <w:ind w:left="780"/>
      </w:pPr>
      <w:r>
        <w:t xml:space="preserve">b) nicht mehr als 200 Prozent der fixen Vergütung des Mitarbeiters oder der Mitarbeiterin im letzten abgeschlossenen Geschäftsjahr entspricht,</w:t>
      </w:r>
    </w:p>
    <w:p>
      <w:pPr>
        <w:ind w:left="420"/>
      </w:pPr>
      <w:r>
        <w:t xml:space="preserve">gilt der Betrag als angemessen, und es kann auf eine Darlegung verzichtet werden.</w:t>
      </w:r>
    </w:p>
    <w:p>
      <w:r>
        <w:t xml:space="preserve">Setzt sich die Vergütung aus mehreren Bestandteilen gemäß den Nummern 1 bis 3 zusammen, so ist in jedem Fall eine Darlegung bei der Aufsichtsbehörde gemäß Nummer 3 notwendig.</w:t>
      </w:r>
    </w:p>
    <w:p>
      <w:r>
        <w:t xml:space="preserve">(7) Zusätzliche variable Vergütungen, die zum Zweck der Bindung der Mitarbeiter und Mitarbeiterinnen an das Institut gewährt werden (Halteprämien), sind nur zulässig, wenn das Institut in der Lage ist, sein berechtigtes Interesse an der Gewährung von Halteprämien zu begründen. Sie müssen insbesondere den Anforderungen gemäß den §§ 4 und 7 genügen. Bei der Berechnung des Verhältnisses gemäß § 25a Absatz 5 des Kreditwesengesetzes sind Halteprämien entweder zeitanteilig oder mit dem Gesamtbetrag zum Zeitpunkt der Fälligkeit zu berücksichtigen. Bei Risikoträgern und Risikoträgerinnen von bedeutenden Instituten gemäß § 1 Absatz 3c des Kreditwesengesetzes sind zusätzlich auch die Anforderungen der §§ 20 und 22 einzuhalten.</w:t>
      </w:r>
    </w:p>
    <w:p>
      <w:r>
        <w:rPr>
          <w:color w:val="555555"/>
          <w:sz w:val="17"/>
        </w:rPr>
        <w:t xml:space="preserve">Zitiervorschlag: § 5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