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InstitutsVergV 2014 — Verantwortlichkeiten; Beteiligung der Kontrolleinheiten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Geschäftsleitung ist für die angemessene Ausgestaltung der Vergütungssysteme der Mitarbeiter und Mitarbeiterinnen, die keine Geschäftsleiter oder Geschäftsleiterinnen sind, nach Maßgabe des § 25a Absatz 1 Nummer 6 in Verbindung mit Absatz 5 des Kreditwesengesetzes und dieser Verordnung verantwortlich. Sie hat das Verwaltungs- oder Aufsichtsorgan mindestens einmal jährlich über die Ausgestaltung der Vergütungssysteme des Instituts zu informieren. Die Sätze 1 und 2 gelten auch in Bezug auf den Prozess zur Ermittlung der Risikoträger und Risikoträgerinnen nach § 25a Absatz 5b des Kreditwesengesetzes sowie bei Instituten nach § 1 Absatz 3 auf den Prozess zur Ermittlung der Gruppen-Risikoträger und Gruppen-Risikoträgerinnen nach § 27 Absatz 2 Satz 1 und 3. Dem oder der Vorsitzenden des Verwaltungs- oder Aufsichtsorgans ist ein entsprechendes Auskunftsrecht gegenüber der Geschäftsleitung einzuräumen.</w:t>
      </w:r>
    </w:p>
    <w:p>
      <w:r>
        <w:t xml:space="preserve">(2) Das Verwaltungs- oder Aufsichtsorgan ist für die angemessene Ausgestaltung der Vergütungssysteme der Geschäftsleiter und Geschäftsleiterinnen nach Maßgabe des § 25a Absatz 1 Nummer 6 in Verbindung mit Absatz 5 des Kreditwesengesetzes und dieser Verordnung verantwortlich.</w:t>
      </w:r>
    </w:p>
    <w:p>
      <w:r>
        <w:t xml:space="preserve">(3) Die Kontrolleinheiten und der Bereich Personal sind im Rahmen ihrer Aufgaben bei der Ausgestaltung und der Überwachung der Vergütungssysteme sowie in bedeutenden Instituten gemäß § 1 Absatz 3c des Kreditwesengesetzes auch in Bezug auf den Prozess der Ermittlung der Risikoträger und Risikoträgerinnen gemäß § 25a Absatz 5b des Kreditwesengesetzes sowie der Gruppen-Risikoträger und Gruppen-Risikoträgerinnen gemäß § 27 Absatz 2 Satz 1 angemessen zu beteiligen.</w:t>
      </w:r>
    </w:p>
    <w:p>
      <w:r>
        <w:rPr>
          <w:color w:val="555555"/>
          <w:sz w:val="17"/>
        </w:rPr>
        <w:t xml:space="preserve">Zitiervorschlag: § 3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