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InstitutsVergV 2014 — Vergütungsbeauftragte in den Organisationsrichtlinien</w:t>
      </w:r>
    </w:p>
    <w:p>
      <w:r>
        <w:rPr>
          <w:color w:val="555555"/>
          <w:sz w:val="18"/>
        </w:rPr>
        <w:t xml:space="preserve">Institutsvergütungsverordnung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Aufgaben und die organisatorische Einbindung des Vergütungsbeauftragten sind in den Organisationsrichtlinien des Instituts gemäß § 11 darzustellen.</w:t>
      </w:r>
    </w:p>
    <w:p>
      <w:r>
        <w:rPr>
          <w:color w:val="555555"/>
          <w:sz w:val="17"/>
        </w:rPr>
        <w:t xml:space="preserve">Zitiervorschlag: § 26 InstitutsVergV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https://recht.nulegal.eu/gesetze/InstitutsVergV%202014/26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