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InstitutsVergV 2014 — Zusätzliche Leistungen zur Altersversorgung</w:t>
      </w:r>
    </w:p>
    <w:p>
      <w:r>
        <w:rPr>
          <w:color w:val="555555"/>
          <w:sz w:val="18"/>
        </w:rPr>
        <w:t xml:space="preserve">Institutsvergütungsverordnung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Zusätzliche Leistungen zur Altersversorgung, die anlässlich einer nicht ruhestandsbedingten Beendigung des Arbeits-, Geschäftsbesorgungs- oder Dienstverhältnisses an Risikoträger oder Risikoträgerinnen gewährt werden, müssen abweichend von § 20 in voller Höhe aus Instrumenten gemäß § 20 Absatz 5 Satz 1 Nummer 1 und 2 bestehen und vom Institut mindestens fünf Jahre zurückbehalten werden. § 18 Absatz 5 und § 20 Absatz 4 Nummer 2 und 3 gelten entsprechend.</w:t>
      </w:r>
    </w:p>
    <w:p>
      <w:r>
        <w:t xml:space="preserve">(2) Zusätzliche Leistungen zur Altersversorgung, die anlässlich einer ruhestandsbedingten Beendigung des Arbeits-, Geschäftsbesorgungs- oder Dienstverhältnisses an Risikoträger oder Risikoträgerinnen geleistet werden, müssen abweichend von § 20 in voller Höhe aus Instrumenten gemäß § 20 Absatz 5 Satz 1 Nummer 1 und 2 bestehen und mit einer fünfjährigen Sperrfrist versehen sein. Über die Instrumente darf frühestens nach Ablauf der Sperrfrist verfügt werden. § 20 Absatz 6 gilt entsprechend.</w:t>
      </w:r>
    </w:p>
    <w:p>
      <w:r>
        <w:t xml:space="preserve">(3) Für die Auszahlung der zusätzlichen Leistungen zur Altersversorgung gilt § 7 entsprechend.</w:t>
      </w:r>
    </w:p>
    <w:p>
      <w:r>
        <w:rPr>
          <w:color w:val="555555"/>
          <w:sz w:val="17"/>
        </w:rPr>
        <w:t xml:space="preserve">Zitiervorschlag: § 22 InstitutsVergV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https://recht.nulegal.eu/gesetze/InstitutsVergV%202014/22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