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InstitutsVergV 2014 — Vergütungen im Zusammenhang mit Ausgleichszahlungen</w:t>
      </w:r>
    </w:p>
    <w:p>
      <w:r>
        <w:rPr>
          <w:color w:val="555555"/>
          <w:sz w:val="18"/>
        </w:rPr>
        <w:t xml:space="preserve">Institutsvergütungsverordnung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Vergütungen im Zusammenhang mit Ausgleichszahlungen für entgangene Ansprüche aus vorherigen Beschäftigungsverhältnissen gelten als garantierte variable Vergütung gemäß § 5 Absatz 5 und müssen unter Einbeziehung der besonderen Anforderungen gemäß den §§ 20 und 22 mit den langfristigen Interessen des Instituts in Einklang stehen.</w:t>
      </w:r>
    </w:p>
    <w:p>
      <w:r>
        <w:rPr>
          <w:color w:val="555555"/>
          <w:sz w:val="17"/>
        </w:rPr>
        <w:t xml:space="preserve">Zitiervorschlag: § 21 InstitutsVergV 2014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https://recht.nulegal.eu/gesetze/InstitutsVergV%202014/21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