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InstitutsVergV 2014 — Zurückbehaltung, Anspruchs- und Auszahlungsvoraussetzungen, Rückforderung (Ex-post-Risikoadjustierung)</w:t>
      </w:r>
    </w:p>
    <w:p>
      <w:r>
        <w:rPr>
          <w:color w:val="555555"/>
          <w:sz w:val="18"/>
        </w:rPr>
        <w:t xml:space="preserve">Institutsvergütungsverordnung</w:t>
      </w:r>
    </w:p>
    <w:p>
      <w:r>
        <w:rPr>
          <w:color w:val="555555"/>
          <w:sz w:val="18"/>
        </w:rPr>
        <w:t xml:space="preserve">Stand: 14.01.2022 (konsolidierte Textfassung, kein amtliches Inkrafttretensdatum)</w:t>
      </w:r>
    </w:p>
    <w:p>
      <w:r>
        <w:t xml:space="preserve">(1) Die Auszahlung eines erheblichen Teils, mindestens aber von 40 Prozent, der variablen Vergütung eines Risikoträgers oder einer Risikoträgerin muss über einen Zurückbehaltungszeitraum von mindestens vier Jahren gestreckt werden. Abhängig von der Stellung, den Aufgaben und den Tätigkeiten eines Risikoträgers oder einer Risikoträgerin sowie von der Höhe der variablen Vergütung und der Risiken, die ein Risikoträger oder eine Risikoträgerin begründen kann, erhöhen sich die Untergrenze des Zurückbehaltungszeitraums auf bis zu fünf Jahre und die Untergrenze des zurückzubehaltenden Anteils der variablen Vergütung auf bis zu 60 Prozent. Bei der Festlegung des Zurückbehaltungszeitraums und des zurückzubehaltenden Anteils der variablen Vergütung gemäß den Sätzen 1 und 2 sind der Geschäftszyklus, Art und Risikogehalt der Geschäftsaktivitäten, die diesbezüglich erwarteten Schwankungen, die Einflussnahmemöglichkeit der Risikoträger und Risikoträgerinnen hierauf sowie gegebenenfalls eine gemäß § 25a Absatz 5 des Kreditwesengesetzes gebilligte höhere Obergrenze für die variable Vergütung im Verhältnis zur fixen Vergütung zu berücksichtigen.</w:t>
      </w:r>
    </w:p>
    <w:p>
      <w:r>
        <w:t xml:space="preserve">(2) Bei Risikoträgern oder Risikoträgerinnen, die Geschäftsleiter oder Geschäftsleiterinnen sind oder der der Geschäftsleitung unmittelbar nachgelagerten Führungsebene angehören, betragen die Untergrenzen gemäß Absatz 1 Satz 2 fünf Jahre und 60 Prozent.</w:t>
      </w:r>
    </w:p>
    <w:p>
      <w:r>
        <w:t xml:space="preserve">(3) Jedes Institut hat in seinen Organisationsrichtlinien einen Schwellenwert für die jährliche variable Vergütung eines Risikoträgers oder einer Risikoträgerin in angemessener Höhe festzulegen, ab dessen Erreichen sich der Anteil der variablen Vergütung, dessen Auszahlung gemäß Absatz 1 Satz 1 zu strecken ist, auf mindestens 60 Prozent erhöht. Dieser Schwellenwert darf 500 000 Euro nicht überschreiten.</w:t>
      </w:r>
    </w:p>
    <w:p>
      <w:r>
        <w:t xml:space="preserve">(4) Während des Zurückbehaltungszeitraums</w:t>
      </w:r>
    </w:p>
    <w:p>
      <w:pPr>
        <w:ind w:left="420"/>
      </w:pPr>
      <w:r>
        <w:t xml:space="preserve">1. darf der Anspruch oder die Anwartschaft auf diesen Vergütungsanteil nicht schneller als zeitanteilig entstehen,</w:t>
      </w:r>
    </w:p>
    <w:p>
      <w:pPr>
        <w:ind w:left="420"/>
      </w:pPr>
      <w:r>
        <w:t xml:space="preserve">2. besteht lediglich ein Anspruch auf fehlerfreie Ermittlung bezüglich des noch nicht zu einer Anwartschaft oder einem Anspruch erwachsenen Teils der variablen Vergütung, nicht aber auf diesen Teil der variablen Vergütung selbst, und</w:t>
      </w:r>
    </w:p>
    <w:p>
      <w:pPr>
        <w:ind w:left="420"/>
      </w:pPr>
      <w:r>
        <w:t xml:space="preserve">3. erfolgt eine nachträgliche Überprüfung, ob die ursprüngliche Ermittlung der variablen Vergütung gemäß § 19 auch rückblickend noch zutreffend erscheint; im Fall einer negativen Abweichung des Überprüfungsergebnisses ist die zurückbehaltene variable Vergütung entsprechend zu reduzieren.</w:t>
      </w:r>
    </w:p>
    <w:p>
      <w:r>
        <w:t xml:space="preserve">(5) Abhängig von den Aufgaben sowie der Tätigkeit und der Stellung eines Risikoträgers oder einer Risikoträgerin muss sich ein erheblicher Teil, mindestens aber 50 Prozent, jeder zurückbehaltenen und jeder nicht zurückbehaltenen variablen Vergütung aus den folgenden Bestandteilen zusammensetzen, die vorbehaltlich der Verfügbarkeit von Instrumenten gemäß Nummer 2 in einem ausgewogenen Verhältnis zueinander stehen müssen:</w:t>
      </w:r>
    </w:p>
    <w:p>
      <w:pPr>
        <w:ind w:left="420"/>
      </w:pPr>
      <w:r>
        <w:t xml:space="preserve">1. je nach Rechtsform des jeweiligen Instituts aus Aktien oder gleichwertigen Beteiligungen oder aus aktienbasierten oder gleichwertigen Instrumenten, die den Wert des Unternehmens nachhaltig widerspiegeln,</w:t>
      </w:r>
    </w:p>
    <w:p>
      <w:pPr>
        <w:ind w:left="420"/>
      </w:pPr>
      <w:r>
        <w:t xml:space="preserve">2. falls verfügbar, aus Instrumenten im Sinne der Delegierten Verordnung (EU) Nr. 527/2014 der Kommission vom 12. März 2014 zur Ergänzung der Richtlinie 2013/36/EU des Europäischen Parlaments und des Rates durch technische Regulierungsstandards zur Bezeichnung der Klassen von Instrumenten, die die Bonität eines Instituts unter der Annahme der Unternehmensfortführung angemessen widerspiegeln und die für eine Verwendung zu Zwecken der variablen Vergütung geeignet sind (ABl. L 148 vom 20.5.2014, S. 21).</w:t>
      </w:r>
    </w:p>
    <w:p>
      <w:r>
        <w:t xml:space="preserve">Die in Satz 1 genannten Instrumente sind mit einer angemessenen Sperrfrist von in der Regel mindestens einem Jahr zu versehen, nach deren Ablauf frühestens über den jeweiligen Anteil der variablen Vergütung verfügt werden darf.</w:t>
      </w:r>
    </w:p>
    <w:p>
      <w:r>
        <w:t xml:space="preserve">(6) In den Fällen des § 18 Absatz 5 Satz 3 Nummer 1 und 2 hat das Institut auf Grundlage entsprechender Vereinbarungen mit den Risikoträgern und Risikoträgerinnen eine bereits ausgezahlte variable Vergütung zurückzufordern und Ansprüche auf die Auszahlung variabler Vergütung zum Erlöschen zu bringen. Dies gilt auf Basis einer periodengerechten Zuordnung des negativen Erfolgsbeitrags zu einem Bemessungszeitraum mindestens für einen Zeitraum, der mit der Auszahlung des nicht gemäß den Absätzen 1 und 2 zurückbehaltenen Anteils der variablen Vergütung beginnt und zwei Jahre nach Ablauf der Zurückbehaltungsfrist für den zuletzt gemäß Absatz 4 Satz 1 Nummer 1 erdienten Vergütungsbestandteil endet.</w:t>
      </w:r>
    </w:p>
    <w:p>
      <w:r>
        <w:rPr>
          <w:color w:val="555555"/>
          <w:sz w:val="17"/>
        </w:rPr>
        <w:t xml:space="preserve">Zitiervorschlag: § 20 InstitutsVergV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https://recht.nulegal.eu/gesetze/InstitutsVergV%202014/20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