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InstitutsVergV 2014 — Begriffsbestimmungen</w:t>
      </w:r>
    </w:p>
    <w:p>
      <w:r>
        <w:rPr>
          <w:color w:val="555555"/>
          <w:sz w:val="18"/>
        </w:rPr>
        <w:t xml:space="preserve">Institutsvergütungsverordnung</w:t>
      </w:r>
    </w:p>
    <w:p>
      <w:r>
        <w:rPr>
          <w:color w:val="555555"/>
          <w:sz w:val="18"/>
        </w:rPr>
        <w:t xml:space="preserve">Stand: 14.01.2022 (konsolidierte Textfassung, kein amtliches Inkrafttretensdatum)</w:t>
      </w:r>
    </w:p>
    <w:p>
      <w:r>
        <w:t xml:space="preserve">(1) Vergütung im Sinne dieser Verordnung sind</w:t>
      </w:r>
    </w:p>
    <w:p>
      <w:pPr>
        <w:ind w:left="420"/>
      </w:pPr>
      <w:r>
        <w:t xml:space="preserve">1. sämtliche finanziellen Leistungen, gleich welcher Art, einschließlich der Leistungen zur Altersversorgung,</w:t>
      </w:r>
    </w:p>
    <w:p>
      <w:pPr>
        <w:ind w:left="420"/>
      </w:pPr>
      <w:r>
        <w:t xml:space="preserve">2. sämtliche Sachbezüge, gleich welcher Art, einschließlich der Leistungen zur Altersversorgung, und</w:t>
      </w:r>
    </w:p>
    <w:p>
      <w:pPr>
        <w:ind w:left="420"/>
      </w:pPr>
      <w:r>
        <w:t xml:space="preserve">3. sämtliche Leistungen von Dritten,</w:t>
      </w:r>
    </w:p>
    <w:p>
      <w:r>
        <w:t xml:space="preserve">die ein Mitarbeiter oder eine Mitarbeiterin im Hinblick auf seine oder ihre berufliche Tätigkeit für das Institut erhält. Sachbezüge gemäß Satz 1 Nummer 2, die nach dem Einkommensteuergesetz nicht als Einkünfte aus nichtselbständiger Arbeit anzusehen sind oder gemäß § 8 Absatz 2 Satz 11 des Einkommensteuergesetzes außer Ansatz bleiben, müssen nicht berücksichtigt werden.</w:t>
      </w:r>
    </w:p>
    <w:p>
      <w:r>
        <w:t xml:space="preserve">(2) Vergütungssysteme im Sinne dieser Verordnung sind die institutsinternen Regelungen zur Vergütung sowie deren tatsächliche Umsetzung und Anwendung durch das Institut.</w:t>
      </w:r>
    </w:p>
    <w:p>
      <w:r>
        <w:t xml:space="preserve">(3) Variable Vergütung im Sinne dieser Verordnung ist der Teil der Vergütung, der nicht fix gemäß Absatz 6 ist. Ist eine eindeutige Zuordnung eines Vergütungsbestandteils zur fixen Vergütung gemäß Absatz 6 nicht möglich, gilt dieser Bestandteil als variable Vergütung.</w:t>
      </w:r>
    </w:p>
    <w:p>
      <w:r>
        <w:t xml:space="preserve">(4) Zusätzliche Leistungen zur Altersversorgung im Sinne dieser Verordnung sind die Teile der variablen Vergütung, deren Gewährung einem Mitarbeiter oder einer Mitarbeiterin vom Institut nach dessen Ermessen als Altersversorgung zugesagt werden.</w:t>
      </w:r>
    </w:p>
    <w:p>
      <w:r>
        <w:t xml:space="preserve">(5) Abfindungen sind Vergütungen, die ein Mitarbeiter oder eine Mitarbeiterin im Zusammenhang mit der vorzeitigen Beendigung des Arbeits-, Geschäftsbesorgungs- oder Dienstverhältnisses erhält.</w:t>
      </w:r>
    </w:p>
    <w:p>
      <w:r>
        <w:t xml:space="preserve">(6) Fixe Vergütung im Sinne dieser Verordnung ist der Teil der Vergütung,</w:t>
      </w:r>
    </w:p>
    <w:p>
      <w:pPr>
        <w:ind w:left="420"/>
      </w:pPr>
      <w:r>
        <w:t xml:space="preserve">1. dessen Gewährung und Höhe keinem Ermessen unterliegt,</w:t>
      </w:r>
    </w:p>
    <w:p>
      <w:pPr>
        <w:ind w:left="420"/>
      </w:pPr>
      <w:r>
        <w:t xml:space="preserve">2. dessen Gewährung und Höhe dem Mitarbeiter oder der Mitarbeiterin keine Anreize für eine Risikoübernahme bieten,</w:t>
      </w:r>
    </w:p>
    <w:p>
      <w:pPr>
        <w:ind w:left="420"/>
      </w:pPr>
      <w:r>
        <w:t xml:space="preserve">3. bei dem die Voraussetzungen für die Gewährung und Höhe vorher festgelegt wurden,</w:t>
      </w:r>
    </w:p>
    <w:p>
      <w:pPr>
        <w:ind w:left="420"/>
      </w:pPr>
      <w:r>
        <w:t xml:space="preserve">4. bei dem die Voraussetzungen für die Gewährung und Höhe transparent für den Mitarbeiter oder die Mitarbeiterin sind,</w:t>
      </w:r>
    </w:p>
    <w:p>
      <w:pPr>
        <w:ind w:left="420"/>
      </w:pPr>
      <w:r>
        <w:t xml:space="preserve">5. dessen Gewährung und Höhe dauerhaft sind,</w:t>
      </w:r>
    </w:p>
    <w:p>
      <w:pPr>
        <w:ind w:left="420"/>
      </w:pPr>
      <w:r>
        <w:t xml:space="preserve">6. der nicht einseitig vom Institut verringert, ausgesetzt oder aufgehoben werden kann und</w:t>
      </w:r>
    </w:p>
    <w:p>
      <w:pPr>
        <w:ind w:left="420"/>
      </w:pPr>
      <w:r>
        <w:t xml:space="preserve">7. der nicht leistungsabhängig oder sonst vom Eintritt zuvor vereinbarter Bedingungen abhängig ausgestaltet ist.</w:t>
      </w:r>
    </w:p>
    <w:p>
      <w:r>
        <w:t xml:space="preserve">Als fixe Vergütung gelten auch finanzielle Leistungen oder Sachbezüge, die auf einer zuvor festgelegten allgemeinen, ermessensunabhängigen und institutsweiten Regelung beruhen, die nicht leistungsabhängig sind, keine Anreize für eine Risikoübernahme bieten und entweder einen Großteil der Mitarbeiter und Mitarbeiterinnen oder Mitarbeiter und Mitarbeiterinnen, die vorab festgelegte Kriterien erfüllen, begünstigen, sowie Zahlungen in Erfüllung gesetzlicher Verpflichtungen. Abweichend von Satz 1 Nummer 5 gelten bei Erfüllung der zusätzlichen Voraussetzungen gemäß Satz 4 auch Zulagen als fixe Vergütung, die</w:t>
      </w:r>
    </w:p>
    <w:p>
      <w:pPr>
        <w:ind w:left="420"/>
      </w:pPr>
      <w:r>
        <w:t xml:space="preserve">1. an ins Ausland entsandte Mitarbeiter und Mitarbeiterinnen für die Dauer ihres Auslandsaufenthalts entweder im Hinblick auf die dortigen Lebenshaltungskosten sowie die dortige Steuerlast gezahlt werden oder um die vertraglich vereinbarte fixe Vergütung gemäß Satz 1 an das für eine vergleichbare Tätigkeit im jeweiligen Markt übliche Vergütungsniveau anzupassen (Auslandszulage) oder</w:t>
      </w:r>
    </w:p>
    <w:p>
      <w:pPr>
        <w:ind w:left="420"/>
      </w:pPr>
      <w:r>
        <w:t xml:space="preserve">2. an Mitarbeiter und Mitarbeiterinnen im Hinblick auf eine vorübergehend übernommene anspruchsvollere Aufgabe, Funktion oder organisatorische Verantwortung gezahlt werden (Funktionszulage).</w:t>
      </w:r>
    </w:p>
    <w:p>
      <w:r>
        <w:t xml:space="preserve">Die Zulagen gemäß Satz 3 müssen folgende zusätzliche Voraussetzungen erfüllen, um als fixe Vergütung zu gelten:</w:t>
      </w:r>
    </w:p>
    <w:p>
      <w:pPr>
        <w:ind w:left="420"/>
      </w:pPr>
      <w:r>
        <w:t xml:space="preserve">1. Die Zulage wird aufgrund einer einheitlichen institutsweiten Regelung in vergleichbaren Fällen ermessensunabhängig an alle betroffenen Mitarbeiter und Mitarbeiterinnen geleistet;</w:t>
      </w:r>
    </w:p>
    <w:p>
      <w:pPr>
        <w:ind w:left="420"/>
      </w:pPr>
      <w:r>
        <w:t xml:space="preserve">2. die Höhe der Zulage basiert auf vorbestimmten Kriterien und</w:t>
      </w:r>
    </w:p>
    <w:p>
      <w:pPr>
        <w:ind w:left="420"/>
      </w:pPr>
      <w:r>
        <w:t xml:space="preserve">3. der Anspruch auf die Leistung der Zulage steht unter der auflösenden Bedingung des Wegfalls des jeweiligen Grundes ihrer Gewährung.</w:t>
      </w:r>
    </w:p>
    <w:p>
      <w:r>
        <w:t xml:space="preserve">(7) Mitarbeiter und Mitarbeiterinnen im Sinne dieser Verordnung sind alle Arbeitnehmer des Instituts gemäß § 5 Absatz 1 des Arbeitsgerichtsgesetzes sowie alle natürlichen Personen,</w:t>
      </w:r>
    </w:p>
    <w:p>
      <w:pPr>
        <w:ind w:left="420"/>
      </w:pPr>
      <w:r>
        <w:t xml:space="preserve">1. deren sich das Institut beim Betreiben von Bankgeschäften oder bei der Erbringung von Finanzdienstleistungen bedient, insbesondere aufgrund eines Arbeits-, Geschäftsbesorgungs- oder Dienstverhältnisses, oder</w:t>
      </w:r>
    </w:p>
    <w:p>
      <w:pPr>
        <w:ind w:left="420"/>
      </w:pPr>
      <w:r>
        <w:t xml:space="preserve">2. die im Rahmen einer Auslagerungsvereinbarung mit einem gruppenangehörigen Auslagerungsunternehmen unmittelbar an Dienstleistungen für das Institut beteiligt sind, um Bankgeschäfte zu betreiben oder Finanzdienstleistungen zu erbringen.</w:t>
      </w:r>
    </w:p>
    <w:p>
      <w:r>
        <w:t xml:space="preserve">Als Mitarbeiter und Mitarbeiterinnen im Sinne dieser Verordnung gelten auch Geschäftsleiter und Geschäftsleiterinnen gemäß § 1 Absatz 2 des Kreditwesengesetzes. Nicht als Mitarbeiter und Mitarbeiterinnen im Sinne dieser Verordnung gelten Handelsvertreter und Handelsvertreterinnen gemäß § 84 Absatz 1 des Handelsgesetzbuchs.</w:t>
      </w:r>
    </w:p>
    <w:p>
      <w:r>
        <w:t xml:space="preserve">(8) Risikoträger und Risikoträgerinnen im Sinne dieser Verordnung sind solche gemäß § 1 Absatz 21 sowie § 25a Absatz 5b Satz 1 und 2 des Kreditwesengesetzes. Gruppen-Risikoträger und Gruppen-Risikoträgerinnen sind Mitarbeiter und Mitarbeiterinnen, deren berufliche Tätigkeit sich wesentlich auf das Gesamtrisikoprofil einer Gruppe gemäß Absatz 12 auswirkt.</w:t>
      </w:r>
    </w:p>
    <w:p>
      <w:r>
        <w:t xml:space="preserve">(9) Vergütungsparameter im Sinne dieser Verordnung sind die quantitativen und qualitativen Bestimmungsfaktoren, anhand derer die Leistung und der Erfolg eines Mitarbeiters oder einer Mitarbeiterin oder einer Organisationseinheit oder der Gesamterfolg eines Instituts oder einer Gruppe gemessen werden.</w:t>
      </w:r>
    </w:p>
    <w:p>
      <w:r>
        <w:t xml:space="preserve">(10) Erfolgsbeiträge im Sinne dieser Verordnung sind die auf der Grundlage von Vergütungsparametern ermittelten tatsächlichen Leistungen und Erfolge eines Mitarbeiters oder einer Mitarbeiterin oder einer Organisationseinheit oder der Gesamterfolg eines Instituts oder einer Gruppe, die in die Ermittlung der Höhe der variablen Vergütungsbestandteile einfließen. Erfolgsbeiträge können auch negativ sein.</w:t>
      </w:r>
    </w:p>
    <w:p>
      <w:r>
        <w:t xml:space="preserve">(11) Kontrolleinheiten im Sinne dieser Verordnung sind diejenigen Organisationseinheiten unterhalb der Geschäftsleitung, die die geschäftsinitiierenden Organisationseinheiten, insbesondere die Bereiche Markt gemäß § 25c Absatz 4a Nummer 3 Buchstabe b des Kreditwesengesetzes und Handel, überwachen. Hierzu zählen die Bereiche Marktfolge gemäß § 25c Absatz 4a Nummer 3 Buchstabe b des Kreditwesengesetzes und Risikocontrolling. Weitere Kontrolleinheiten im Sinne dieser Verordnung sind die Einheiten mit Compliance-Funktion und die Interne Revision.</w:t>
      </w:r>
    </w:p>
    <w:p>
      <w:r>
        <w:t xml:space="preserve">(12) Gruppen, übergeordnete Unternehmen und nachgeordnete Unternehmen im Sinne dieser Verordnung sind solche gemäß § 10a Absatz 1 und 2 des Kreditwesengesetzes.</w:t>
      </w:r>
    </w:p>
    <w:p>
      <w:r>
        <w:rPr>
          <w:color w:val="555555"/>
          <w:sz w:val="17"/>
        </w:rPr>
        <w:t xml:space="preserve">Zitiervorschlag: § 2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