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InstitutsVergV 2014 — Ermittlung der variablen Vergütung (Ex-ante-Risikoadjustierung)</w:t>
      </w:r>
    </w:p>
    <w:p>
      <w:r>
        <w:rPr>
          <w:color w:val="555555"/>
          <w:sz w:val="18"/>
        </w:rPr>
        <w:t xml:space="preserve">Institutsvergütungsverordnung</w:t>
      </w:r>
    </w:p>
    <w:p>
      <w:r>
        <w:rPr>
          <w:color w:val="555555"/>
          <w:sz w:val="18"/>
        </w:rPr>
        <w:t xml:space="preserve">Stand: 10.06.2019 (konsolidierte Textfassung, kein amtliches Inkrafttretensdatum)</w:t>
      </w:r>
    </w:p>
    <w:p>
      <w:r>
        <w:t xml:space="preserve">(1) Bei der Ermittlung der variablen Vergütung sind der Gesamterfolg des Instituts oder, falls erforderlich, der Gruppe sowie der Erfolgsbeitrag der Organisationseinheit und der individuelle Erfolgsbeitrag angemessen zu berücksichtigen. Dabei ist ein angemessener Betrachtungszeitraum zugrunde zu legen, der mindestens ein Jahr betragen muss (Bemessungszeitraum). Bei Risikoträgern oder Risikoträgerinnen, die Geschäftsleiter oder Geschäftsleiterinnen sind, beträgt der Bemessungszeitraum mindestens drei Jahre. Dabei kann der Zurückbehaltungszeitraum auf den Bemessungszeitraum angerechnet werden, soweit er die Untergrenze aus § 20 Absatz 2 überschreitet; Satz 2 bleibt unberührt.</w:t>
      </w:r>
    </w:p>
    <w:p>
      <w:r>
        <w:t xml:space="preserve">(2) Der individuelle Erfolgsbeitrag ist anhand der Erreichung von vereinbarten Zielen zu bestimmen, wobei sowohl quantitative als auch qualitative Vergütungsparameter angemessen berücksichtigt werden müssen. Die Vergütungsparameter sind so festzulegen, dass der Grad der Zielerreichung ermittelt werden kann. Insbesondere sitten- oder pflichtwidriges Verhalten darf nicht durch positive Erfolgsbeiträge ausgeglichen werden, sondern muss die Höhe der variablen Vergütung verringern.</w:t>
      </w:r>
    </w:p>
    <w:p>
      <w:r>
        <w:t xml:space="preserve">(3) Für die Ermittlung des Gesamterfolgs des Instituts oder, falls erforderlich, der Gruppe, des Erfolgsbeitrags der jeweiligen Organisationseinheit und, soweit dies nicht mit einem unverhältnismäßigen Aufwand verbunden ist, des individuellen Erfolgsbeitrags sind insbesondere solche Vergütungsparameter zu verwenden, die dem Ziel eines nachhaltigen Erfolges Rechnung tragen. Dabei sind vor allem eingegangene Risiken, deren Laufzeiten sowie Kapital- und Liquiditätskosten zu berücksichtigen, wobei die Laufzeiten der Risiken nicht zwingend nachgebildet werden müssen.</w:t>
      </w:r>
    </w:p>
    <w:p>
      <w:r>
        <w:rPr>
          <w:color w:val="555555"/>
          <w:sz w:val="17"/>
        </w:rPr>
        <w:t xml:space="preserve">Zitiervorschlag: § 19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