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InstitutsVergV 2014 — Aufgaben des Vergütungskontrollausschusses</w:t>
      </w:r>
    </w:p>
    <w:p>
      <w:r>
        <w:rPr>
          <w:color w:val="555555"/>
          <w:sz w:val="18"/>
        </w:rPr>
        <w:t xml:space="preserve">Institutsvergütungsverordnung</w:t>
      </w:r>
    </w:p>
    <w:p>
      <w:r>
        <w:rPr>
          <w:color w:val="555555"/>
          <w:sz w:val="18"/>
        </w:rPr>
        <w:t xml:space="preserve">Stand: 14.01.2022 (konsolidierte Textfassung, kein amtliches Inkrafttretensdatum)</w:t>
      </w:r>
    </w:p>
    <w:p>
      <w:r>
        <w:t xml:space="preserve">(1) Hat das Institut einen Vergütungskontrollausschuss gemäß § 25d Absatz 7 Satz 1, 2 und 6 des Kreditwesengesetzes eingerichtet, so nimmt dieser insbesondere die Aufgaben gemäß den Absätzen 2 bis 5 sowie gemäß § 25d Absatz 12 Satz 1 des Kreditwesengesetzes wahr.</w:t>
      </w:r>
    </w:p>
    <w:p>
      <w:r>
        <w:t xml:space="preserve">(2) Der Vergütungskontrollausschuss unterstützt das Verwaltungs- oder Aufsichtsorgan bei der angemessenen Ausgestaltung der Vergütungssysteme des Instituts für Geschäftsleiter und Geschäftsleiterinnen. Dies umfasst insbesondere auch</w:t>
      </w:r>
    </w:p>
    <w:p>
      <w:pPr>
        <w:ind w:left="420"/>
      </w:pPr>
      <w:r>
        <w:t xml:space="preserve">1. die Vorbereitung der Beschlüsse des Verwaltungs- oder Aufsichtsorgans zur Festsetzung des Gesamtbetrags der variablen Vergütungen gemäß § 45 Absatz 2 Nummer 10 des Kreditwesengesetzes unter Berücksichtigung des § 7 sowie zur Festlegung von angemessenen Vergütungsparametern, von Erfolgsbeiträgen, der Leistungs- und Zurückbehaltungszeiträume und der Voraussetzungen für einen vollständigen Verlust oder eine teilweise Reduzierung der zurückbehaltenen variablen Vergütung oder für eine Rückforderung bereits ausgezahlter variabler Vergütung sowie</w:t>
      </w:r>
    </w:p>
    <w:p>
      <w:pPr>
        <w:ind w:left="420"/>
      </w:pPr>
      <w:r>
        <w:t xml:space="preserve">2. die regelmäßige, mindestens jedoch jährliche Überprüfung, ob die vom Verwaltungs- oder Aufsichtsorgan beschlossenen Festlegungen zu den in Nummer 1 genannten Punkten noch angemessen sind; im Fall festgestellter Mängel ist zeitnah ein Maßnahmenplan zu erstellen.</w:t>
      </w:r>
    </w:p>
    <w:p>
      <w:r>
        <w:t xml:space="preserve">(3) Der Vergütungskontrollausschuss unterstützt das Verwaltungs- oder Aufsichtsorgan des Instituts ferner bei der Überwachung der angemessenen Ausgestaltung der Vergütungssysteme für die Mitarbeiter und Mitarbeiterinnen, die keine Geschäftsleiter oder Geschäftsleiterinnen sind, sowie in bedeutenden Instituten gemäß § 1 Absatz 3c des Kreditwesengesetzes auch bei der Überwachung des Prozesses der Ermittlung der Risikoträger und Risikoträgerinnen gemäß § 25a Absatz 5b des Kreditwesengesetzes sowie der Gruppen-Risikoträger und Gruppen-Risikoträgerinnen gemäß § 27 Absatz 2 Satz 1. Zu den diesbezüglichen Aufgaben des Vergütungskontrollausschusses zählt insbesondere die regelmäßige, mindestens jedoch jährliche Überprüfung, ob</w:t>
      </w:r>
    </w:p>
    <w:p>
      <w:pPr>
        <w:ind w:left="420"/>
      </w:pPr>
      <w:r>
        <w:t xml:space="preserve">1. der Gesamtbetrag der variablen Vergütungen gemäß § 45 Absatz 2 Nummer 10 des Kreditwesengesetzes unter Berücksichtigung des § 7 dieser Verordnung ermittelt ist,</w:t>
      </w:r>
    </w:p>
    <w:p>
      <w:pPr>
        <w:ind w:left="420"/>
      </w:pPr>
      <w:r>
        <w:t xml:space="preserve">2. die festgelegten Grundsätze zur Bemessung von Vergütungsparametern, Erfolgsbeiträgen sowie Leistungs- und Zurückbehaltungszeiträumen einschließlich der Voraussetzungen für einen vollständigen Verlust oder eine teilweise Reduzierung der variablen Vergütung angemessen sind und</w:t>
      </w:r>
    </w:p>
    <w:p>
      <w:pPr>
        <w:ind w:left="420"/>
      </w:pPr>
      <w:r>
        <w:t xml:space="preserve">3. die Vergütungssysteme der Mitarbeiter und Mitarbeiterinnen in den Kontrolleinheiten den Anforderungen dieser Verordnung entsprechen.</w:t>
      </w:r>
    </w:p>
    <w:p>
      <w:r>
        <w:t xml:space="preserve">(4) Im Rahmen seiner Aufgaben bewertet der Vergütungskontrollausschuss die Auswirkungen der Vergütungssysteme auf die Risiko-, Kapital- und Liquiditätssituation des Instituts sowie der Gruppe und überwacht, dass die Vergütungssysteme im Einklang mit den Anforderungen gemäß § 4 stehen.</w:t>
      </w:r>
    </w:p>
    <w:p>
      <w:r>
        <w:t xml:space="preserve">(5) Der Vergütungskontrollausschuss hat das Aufsichts- oder Verwaltungsorgan bei der Erstellung der Beschlussvorschläge gemäß § 25a Absatz 5 Satz 6 des Kreditwesengesetzes zu unterstützen.</w:t>
      </w:r>
    </w:p>
    <w:p>
      <w:r>
        <w:rPr>
          <w:color w:val="555555"/>
          <w:sz w:val="17"/>
        </w:rPr>
        <w:t xml:space="preserve">Zitiervorschlag: § 15 InstitutsVergV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https://recht.nulegal.eu/gesetze/InstitutsVergV%202014/15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