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InstitutsVergV 2014 — Information über die Vergütungssysteme</w:t>
      </w:r>
    </w:p>
    <w:p>
      <w:r>
        <w:rPr>
          <w:color w:val="555555"/>
          <w:sz w:val="18"/>
        </w:rPr>
        <w:t xml:space="preserve">Institutsvergütungsverordnung</w:t>
      </w:r>
    </w:p>
    <w:p>
      <w:r>
        <w:rPr>
          <w:color w:val="555555"/>
          <w:sz w:val="18"/>
        </w:rPr>
        <w:t xml:space="preserve">Stand: 10.06.2019 (konsolidierte Textfassung, kein amtliches Inkrafttretensdatum)</w:t>
      </w:r>
    </w:p>
    <w:p>
      <w:r>
        <w:t xml:space="preserve">(1) Die Mitarbeiter und Mitarbeiterinnen müssen schriftlich über die Ausgestaltung der für sie maßgeblichen Vergütungssysteme und insbesondere über die Ausgestaltung der für sie relevanten Vergütungsparameter in Kenntnis gesetzt werden. Die Schriftform ist auch bei einer elektronischen Übermittlung gewahrt.</w:t>
      </w:r>
    </w:p>
    <w:p>
      <w:r>
        <w:t xml:space="preserve">(2) Die weiteren Informationen zu den Vergütungssystemen, die gemäß Artikel 450 der Verordnung (EU) Nr. 575/2013 und ergänzend gemäß § 16 dieser Verordnung von den Instituten offenzulegen sind, sind allen Mitarbeitern und Mitarbeiterinnen zugänglich zu machen.</w:t>
      </w:r>
    </w:p>
    <w:p>
      <w:r>
        <w:rPr>
          <w:color w:val="555555"/>
          <w:sz w:val="17"/>
        </w:rPr>
        <w:t xml:space="preserve">Zitiervorschlag: § 13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