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InstitutsVergV 2014 — Überprüfung und Anpassung der Vergütungssysteme</w:t>
      </w:r>
    </w:p>
    <w:p>
      <w:r>
        <w:rPr>
          <w:color w:val="555555"/>
          <w:sz w:val="18"/>
        </w:rPr>
        <w:t xml:space="preserve">Institutsvergütungsverordnung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(1) Die Vergütungssysteme und die zugrunde gelegten Vergütungsparameter sind von dem Institut zumindest einmal jährlich auf ihre Angemessenheit, insbesondere auch ihre Vereinbarkeit mit den Geschäfts- und Risikostrategien, zu überprüfen. Dabei sind zumindest die diesbezüglichen Berichte der Internen Revision, der Prüfungsbericht des Abschlussprüfers gemäß § 26 Absatz 1 des Kreditwesengesetzes sowie in bedeutenden Instituten gemäß § 1 Absatz 3c des Kreditwesengesetzes der Vergütungskontrollbericht gemäß § 24 Absatz 3 heranzuziehen. Die Überprüfung ist schriftlich oder elektronisch zu dokumentieren und das Überprüfungsergebnis dem Verwaltungs- oder Aufsichtsorgan vorzulegen.</w:t>
      </w:r>
    </w:p>
    <w:p>
      <w:r>
        <w:t xml:space="preserve">(2) Werden bei der Überprüfung Mängel festgestellt, ist zeitnah ein Maßnahmenplan zu erstellen und umzusetzen. Die ergriffenen Maßnahmen zur Behebung der festgestellten Mängel sind zu dokumentieren.</w:t>
      </w:r>
    </w:p>
    <w:p>
      <w:r>
        <w:rPr>
          <w:color w:val="555555"/>
          <w:sz w:val="17"/>
        </w:rPr>
        <w:t xml:space="preserve">Zitiervorschlag: § 12 InstitutsVergV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https://recht.nulegal.eu/gesetze/InstitutsVergV%202014/12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