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InstitutsVergV 2014 — Grundsätze zu den Vergütungssystemen in den Organisationsrichtlinien; Dokumentationspflichten</w:t>
      </w:r>
    </w:p>
    <w:p>
      <w:r>
        <w:rPr>
          <w:color w:val="555555"/>
          <w:sz w:val="18"/>
        </w:rPr>
        <w:t xml:space="preserve">Institutsvergütungsverordnung</w:t>
      </w:r>
    </w:p>
    <w:p>
      <w:r>
        <w:rPr>
          <w:color w:val="555555"/>
          <w:sz w:val="18"/>
        </w:rPr>
        <w:t xml:space="preserve">Stand: 14.01.2022 (konsolidierte Textfassung, kein amtliches Inkrafttretensdatum)</w:t>
      </w:r>
    </w:p>
    <w:p>
      <w:r>
        <w:t xml:space="preserve">(1) Das Institut hat in seinen Organisationsrichtlinien Grundsätze zu den Vergütungssystemen festzulegen. Die Grundsätze umfassen insbesondere</w:t>
      </w:r>
    </w:p>
    <w:p>
      <w:pPr>
        <w:ind w:left="420"/>
      </w:pPr>
      <w:r>
        <w:t xml:space="preserve">1. Angaben zur Ausgestaltung und Anpassung der Vergütungssysteme und zur Zusammensetzung der Vergütung,</w:t>
      </w:r>
    </w:p>
    <w:p>
      <w:pPr>
        <w:ind w:left="420"/>
      </w:pPr>
      <w:r>
        <w:t xml:space="preserve">2. die Regelungen der jeweiligen Zuständigkeiten und Entscheidungsbefugnisse der Geschäftsleitung, des Verwaltungs- oder Aufsichtsorgans, gegebenenfalls des Vergütungskontrollausschusses und des Vergütungsbeauftragten, der Kontrolleinheiten, des Bereichs Personal und der übrigen Organisationseinheiten im Rahmen von Entscheidungsprozessen sowie</w:t>
      </w:r>
    </w:p>
    <w:p>
      <w:pPr>
        <w:ind w:left="420"/>
      </w:pPr>
      <w:r>
        <w:t xml:space="preserve">3. ein Rahmenkonzept zur Festlegung und Genehmigung von Abfindungen einschließlich einer klaren Zuordnung von Zuständigkeiten und Entscheidungsbefugnissen unter Einbeziehung der Kontrolleinheiten und des Bereichs Personal im Rahmen ihrer jeweiligen Zuständigkeiten.</w:t>
      </w:r>
    </w:p>
    <w:p>
      <w:r>
        <w:t xml:space="preserve">(2) Die Institute haben Inhalte und Ergebnisse der Entscheidungsprozesse, in denen der Gesamtbetrag der variablen Vergütungen und dessen Verteilung im Institut festgelegt wurden, angemessen zu dokumentieren.</w:t>
      </w:r>
    </w:p>
    <w:p>
      <w:r>
        <w:t xml:space="preserve">(3) Werden Zulagen der fixen Vergütung zugeordnet, sind die Gründe dafür zu dokumentieren. Dabei ist gesondert darauf einzugehen, wenn die Zulagen</w:t>
      </w:r>
    </w:p>
    <w:p>
      <w:pPr>
        <w:ind w:left="420"/>
      </w:pPr>
      <w:r>
        <w:t xml:space="preserve">1. im Ergebnis ausschließlich an Risikoträger und Risikoträgerinnen gezahlt werden,</w:t>
      </w:r>
    </w:p>
    <w:p>
      <w:pPr>
        <w:ind w:left="420"/>
      </w:pPr>
      <w:r>
        <w:t xml:space="preserve">2. im Ergebnis beschränkt sind auf Fälle, in denen das Verhältnis zwischen der variablen und der fixen jährlichen Vergütung die Obergrenze gemäß § 25a Absatz 5 des Kreditwesengesetzes übersteigen würde, sofern die Zulagen als variable Vergütung angesehen würden, oder</w:t>
      </w:r>
    </w:p>
    <w:p>
      <w:pPr>
        <w:ind w:left="420"/>
      </w:pPr>
      <w:r>
        <w:t xml:space="preserve">3. an Kennzahlen anknüpfen, die Näherungswerte für den Erfolg des Instituts sein können; in diesem Fall muss das Institut darlegen können, dass diese Kennzahlen tatsächlich nicht vom Erfolg des Instituts abhängen.</w:t>
      </w:r>
    </w:p>
    <w:p>
      <w:r>
        <w:rPr>
          <w:color w:val="555555"/>
          <w:sz w:val="17"/>
        </w:rPr>
        <w:t xml:space="preserve">Zitiervorschlag: § 11 InstitutsVergV 2014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https://recht.nulegal.eu/gesetze/InstitutsVergV%202014/11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