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InstitutsVergV 2014 — Zusätzliche Anforderungen an die Vergütung von Geschäftsleitern und Geschäftsleiterinnen</w:t>
      </w:r>
    </w:p>
    <w:p>
      <w:r>
        <w:rPr>
          <w:color w:val="555555"/>
          <w:sz w:val="18"/>
        </w:rPr>
        <w:t xml:space="preserve">Institutsvergütungsverordnung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Verwaltungs- oder Aufsichtsorgan hat bei der Festsetzung der Vergütung des einzelnen Geschäftsleiters oder der einzelnen Geschäftsleiterin dafür zu sorgen, dass die Vergütung</w:t>
      </w:r>
    </w:p>
    <w:p>
      <w:pPr>
        <w:ind w:left="420"/>
      </w:pPr>
      <w:r>
        <w:t xml:space="preserve">1. in einem jeweils angemessenen Verhältnis zu den Aufgaben und Leistungen des Geschäftsleiters oder der Geschäftsleiterin sowie zur Lage des Instituts steht und</w:t>
      </w:r>
    </w:p>
    <w:p>
      <w:pPr>
        <w:ind w:left="420"/>
      </w:pPr>
      <w:r>
        <w:t xml:space="preserve">2. die übliche Vergütung nicht ohne besondere Gründe übersteigt.</w:t>
      </w:r>
    </w:p>
    <w:p>
      <w:r>
        <w:t xml:space="preserve">(2) Variable Vergütungen sollen eine mehrjährige Bemessungsgrundlage haben; für außerordentliche Entwicklungen soll das Verwaltungs- oder Aufsichtsorgan eine Begrenzungsmöglichkeit vereinbaren.</w:t>
      </w:r>
    </w:p>
    <w:p>
      <w:r>
        <w:t xml:space="preserve">(3) Andere einschlägige bundes- oder landesgesetzliche Regelungen zur Vergütung von Geschäftsleitern und Geschäftsleiterinnen bleiben von den Absätzen 1 und 2 unberührt.</w:t>
      </w:r>
    </w:p>
    <w:p>
      <w:r>
        <w:t xml:space="preserve">(4) Die Vergütung, die Geschäftsleiter und Geschäftsleiterinnen für ihre berufliche Tätigkeit bei dem Institut erhalten, muss abschließend im Anstellungsvertrag festgelegt werden. Der Anstellungsvertrag und spätere Änderungen bedürfen der Schriftform.</w:t>
      </w:r>
    </w:p>
    <w:p>
      <w:r>
        <w:rPr>
          <w:color w:val="555555"/>
          <w:sz w:val="17"/>
        </w:rPr>
        <w:t xml:space="preserve">Zitiervorschlag: § 10 InstitutsVergV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https://recht.nulegal.eu/gesetze/InstitutsVergV%202014/10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