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InstitutsVergV 2014 — Anwendungsbereich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Diese Verordnung gilt vorbehaltlich des Absatzes 3 für alle Institute gemäß § 1 Absatz 1b und § 53 Absatz 1 des Kreditwesengesetzes, auf die § 25a des Kreditwesengesetzes anzuwenden ist, und für die Vergütung sämtlicher Mitarbeiter und Mitarbeiterinnen dieser Institute gemäß § 2 Absatz 7. Auf Zweigniederlassungen von Unternehmen mit Sitz in einem anderen Staat des Europäischen Wirtschaftsraums gemäß § 53b Absatz 1 und 7 des Kreditwesengesetzes und auf Unternehmen, die ausschließlich Finanzdienstleistungen gemäß § 1 Absatz 1a Satz 2 Nummer 9 oder Nummer 10 des Kreditwesengesetzes erbringen, ist sie nicht anzuwenden. § 27 Absatz 1 bis 5 ist zudem von übergeordneten Unternehmen, bei denen es sich um eine Mutterfinanzholding-Gesellschaft, gemischte Mutterfinanzholding-Gesellschaft, EU-Mutterfinanzholding-Gesellschaft oder eine gemischte EU-Mutterfinanzholding-Gesellschaft handelt, anzuwenden.</w:t>
      </w:r>
    </w:p>
    <w:p>
      <w:r>
        <w:t xml:space="preserve">(2) § 5 Absatz 6 und § 16 sind nicht anzuwenden auf Institute, die weder ein CRR-Kreditinstitut gemäß § 1 Absatz 3d Satz 1 des Kreditwesengesetzes noch bedeutend gemäß § 1 Absatz 3c des Kreditwesengesetzes sind.</w:t>
      </w:r>
    </w:p>
    <w:p>
      <w:r>
        <w:t xml:space="preserve">(3) Abschnitt 3 gilt nur für bedeutende Institute gemäß § 1 Absatz 3c des Kreditwesengesetzes. Die §§ 18, 19 Absatz 1 Satz 1 und 2, Absatz 2 und 3, § 20 Absatz 1 und 3 bis 6 sowie die §§ 21 und 22 gelten auch für CRR-Kreditinstitute, die nicht bedeutend gemäß § 1 Absatz 3c des Kreditwesengesetzes sind, wenn</w:t>
      </w:r>
    </w:p>
    <w:p>
      <w:pPr>
        <w:ind w:left="420"/>
      </w:pPr>
      <w:r>
        <w:t xml:space="preserve">1. sie übergeordnete Unternehmen sind, deren Bilanzsumme auf konsolidierter oder teilkonsolidierter Basis gemäß Artikel 18 der Verordnung (EU) Nr. 575/2013 des Europäischen Parlaments und des Rates vom 26. Juni 2013 über Aufsichtsanforderungen an Kreditinstitute und zur Änderung der Verordnung (EU) Nr. 648/2012 (ABl. L 176 vom 27.6.2013, S. 1; L 208 vom 2.8.2013, S. 68; L 321 vom 30.11.2013, S. 6; L 193 vom 21.7.2015, S. 166; L 20 vom 25.1.2017, S. 3; L 13 vom 17.1.2020, S. 58; L 335 vom 13.10.2020, S. 20; L 405 vom 2.12.2020, S. 79), die zuletzt durch die Verordnung (EU) 2020/873 (ABl. L 204 vom 26.6.2020, S. 4) geändert worden ist, 30 Milliarden Euro erreicht oder überschreitet, oder</w:t>
      </w:r>
    </w:p>
    <w:p>
      <w:pPr>
        <w:ind w:left="420"/>
      </w:pPr>
      <w:r>
        <w:t xml:space="preserve">2. ihre Bilanzsumme im Durchschnitt zu den jeweiligen Stichtagen der letzten vier abgeschlossenen Geschäftsjahre 5 Milliarden Euro überschritten hat und die Institute mindestens eine der folgenden weiteren Voraussetzungen erfüllen:</w:t>
      </w:r>
    </w:p>
    <w:p>
      <w:pPr>
        <w:ind w:left="780"/>
      </w:pPr>
      <w:r>
        <w:t xml:space="preserve">a) sie fallen weder unter die Befreiung des § 20 Absatz 1 des Sanierungs- und Abwicklungsgesetzes, noch unterliegen sie den vereinfachten Anforderungen der §§ 19 und 41 des Sanierungs- und Abwicklungsgesetzes;</w:t>
      </w:r>
    </w:p>
    <w:p>
      <w:pPr>
        <w:ind w:left="780"/>
      </w:pPr>
      <w:r>
        <w:t xml:space="preserve">b) ihre Handelsbuchtätigkeiten zum Abschluss des letzten Geschäftsjahres gehen über einen geringen Umfang im Sinne des Artikels 94 Absatz 1 der Verordnung (EU) Nr. 575/2013 hinaus oder</w:t>
      </w:r>
    </w:p>
    <w:p>
      <w:pPr>
        <w:ind w:left="780"/>
      </w:pPr>
      <w:r>
        <w:t xml:space="preserve">c) ihr Gesamtwert an Derivatepositionen, die mit Handelsabsicht gehalten werden, übersteigt zum Abschluss des letzten Geschäftsjahres 2 Prozent der gesamten bilanziellen und außerbilanziellen Vermögenswerte oder ihr Gesamtwert an allen Derivatepositionen übersteigt 5 Prozent, wobei beide Werte gemäß Artikel 273a Absatz 3 der Verordnung (EU) Nr. 575/2013 berechnet werden.</w:t>
      </w:r>
    </w:p>
    <w:p>
      <w:r>
        <w:t xml:space="preserve">(4) Diese Verordnung ist mit Ausnahme von § 16 Absatz 1 Satz 1 Nummer 1 und 3 nicht anzuwenden auf Vergütungen, die</w:t>
      </w:r>
    </w:p>
    <w:p>
      <w:pPr>
        <w:ind w:left="420"/>
      </w:pPr>
      <w:r>
        <w:t xml:space="preserve">1. durch Tarifvertrag vereinbart sind,</w:t>
      </w:r>
    </w:p>
    <w:p>
      <w:pPr>
        <w:ind w:left="420"/>
      </w:pPr>
      <w:r>
        <w:t xml:space="preserve">2. im Geltungsbereich eines Tarifvertrages durch Vereinbarung der Arbeitsvertragsparteien über die Anwendung der tarifvertraglichen Regelungen vereinbart sind oder</w:t>
      </w:r>
    </w:p>
    <w:p>
      <w:pPr>
        <w:ind w:left="420"/>
      </w:pPr>
      <w:r>
        <w:t xml:space="preserve">3. aufgrund eines Tarifvertrages in einer Betriebs- oder Dienstvereinbarung vereinbart sind.</w:t>
      </w:r>
    </w:p>
    <w:p>
      <w:r>
        <w:rPr>
          <w:color w:val="555555"/>
          <w:sz w:val="17"/>
        </w:rPr>
        <w:t xml:space="preserve">Zitiervorschlag: § 1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