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InsoKostV — Pauschalierung sonstiger Kosten</w:t>
      </w:r>
    </w:p>
    <w:p>
      <w:r>
        <w:rPr>
          <w:color w:val="555555"/>
          <w:sz w:val="18"/>
        </w:rPr>
        <w:t xml:space="preserve">Insolvenzgeld-Kosten-Verordnung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sonstigen Kosten, die mit der Erbringung des Insolvenzgeldes zusammenhängen, werden pauschaliert.</w:t>
      </w:r>
    </w:p>
    <w:p>
      <w:r>
        <w:rPr>
          <w:color w:val="555555"/>
          <w:sz w:val="17"/>
        </w:rPr>
        <w:t xml:space="preserve">Zitiervorschlag: § 1 InsoKostV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