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2024</w:t>
      </w:r>
    </w:p>
    <w:p>
      <w:r>
        <w:rPr>
          <w:color w:val="555555"/>
          <w:sz w:val="18"/>
        </w:rPr>
        <w:t xml:space="preserve">Insolvenzgeldumlagesatzverordnung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in Verbindung mit § 1 Absatz 2 des Zuständigkeitsanpassungsgesetzes vom 16. August 2002 (BGBl. I S. 3165) und dem Organisationserlass vom 8. Dezember 2021 (BGBl. I S. 5176) verordnet das Bundesministerium für Arbeit und Soziales im Einvernehmen mit dem Bundesministerium der Finanzen und dem Bundesministerium für Wirtschaft und Klimaschutz:</w:t>
      </w:r>
    </w:p>
    <w:p>
      <w:r>
        <w:rPr>
          <w:color w:val="555555"/>
          <w:sz w:val="17"/>
        </w:rPr>
        <w:t xml:space="preserve">Zitiervorschlag: Eingangsformel InsoGeldFestV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