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InsoGeldFestV 2024 — Umlagesatz</w:t>
      </w:r>
    </w:p>
    <w:p>
      <w:r>
        <w:rPr>
          <w:color w:val="555555"/>
          <w:sz w:val="18"/>
        </w:rPr>
        <w:t xml:space="preserve">Insolvenzgeldumlagesatzverordnung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Der für die Finanzierung des Insolvenzgeldes erhobene Umlagesatz nach § 358 Absatz 2 Satz 1 des Dritten Buches Sozialgesetzbuch wird für das Kalenderjahr 2024 auf 0,06 Prozent festgesetzt.</w:t>
      </w:r>
    </w:p>
    <w:p>
      <w:r>
        <w:rPr>
          <w:color w:val="555555"/>
          <w:sz w:val="17"/>
        </w:rPr>
        <w:t xml:space="preserve">Zitiervorschlag: § 1 InsoGeldFestV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