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2023</w:t>
      </w:r>
    </w:p>
    <w:p>
      <w:r>
        <w:rPr>
          <w:color w:val="555555"/>
          <w:sz w:val="18"/>
        </w:rPr>
        <w:t xml:space="preserve">Insolvenzgeldumlagesatzverordnung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in Verbindung mit § 1 Absatz 2 des Zuständigkeitsanpassungsgesetzes vom 16. August 2002 (BGBl. I S. 3165) und dem Organisationserlass vom 8. Dezember 2021 (BGBl. I S. 5176) verordnet das Bundesministerium für Arbeit und Soziales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InsoGeldFestV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