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InsoGeldFestV 2022 — Inkrafttreten</w:t>
      </w:r>
    </w:p>
    <w:p>
      <w:r>
        <w:rPr>
          <w:color w:val="555555"/>
          <w:sz w:val="18"/>
        </w:rPr>
        <w:t xml:space="preserve">Insolvenzgeldumlagesatzverordnung 2022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Diese Verordnung tritt am 1. Januar 2022 in Kraft.</w:t>
      </w:r>
    </w:p>
    <w:p>
      <w:r>
        <w:rPr>
          <w:color w:val="555555"/>
          <w:sz w:val="17"/>
        </w:rPr>
        <w:t xml:space="preserve">Zitiervorschlag: § 2 InsoGeldFestV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https://recht.nulegal.eu/gesetze/InsoGeldFestV%202022/2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