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InsoGeldFestV 2022 — Umlagesatz</w:t>
      </w:r>
    </w:p>
    <w:p>
      <w:r>
        <w:rPr>
          <w:color w:val="555555"/>
          <w:sz w:val="18"/>
        </w:rPr>
        <w:t xml:space="preserve">Insolvenzgeldumlagesatzverordnung 2022</w:t>
      </w:r>
    </w:p>
    <w:p>
      <w:r>
        <w:rPr>
          <w:color w:val="555555"/>
          <w:sz w:val="18"/>
        </w:rPr>
        <w:t xml:space="preserve">Stand: 01.01.2022 (konsolidierte Textfassung, kein amtliches Inkrafttretensdatum)</w:t>
      </w:r>
    </w:p>
    <w:p>
      <w:r>
        <w:t xml:space="preserve">Der Umlagesatz für das Kalenderjahr 2022 beträgt 0,09 Prozent.</w:t>
      </w:r>
    </w:p>
    <w:p>
      <w:r>
        <w:rPr>
          <w:color w:val="555555"/>
          <w:sz w:val="17"/>
        </w:rPr>
        <w:t xml:space="preserve">Zitiervorschlag: § 1 InsoGeldFestV 2022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https://recht.nulegal.eu/gesetze/InsoGeldFestV%202022/1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