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InsoGeldFestV 2019 — Umlagesatz</w:t>
      </w:r>
    </w:p>
    <w:p>
      <w:r>
        <w:rPr>
          <w:color w:val="555555"/>
          <w:sz w:val="18"/>
        </w:rPr>
        <w:t xml:space="preserve">Insolvenzgeldumlagesatzverordnung 2019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Umlagesatz für das Kalenderjahr 2019 beträgt 0,06 Prozent.</w:t>
      </w:r>
    </w:p>
    <w:p>
      <w:r>
        <w:rPr>
          <w:color w:val="555555"/>
          <w:sz w:val="17"/>
        </w:rPr>
        <w:t xml:space="preserve">Zitiervorschlag: § 1 InsoGeldFestV 2019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https://recht.nulegal.eu/gesetze/InsoGeldFestV%202019/1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