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InsoGeldFestV 2018</w:t>
      </w:r>
    </w:p>
    <w:p>
      <w:r>
        <w:rPr>
          <w:color w:val="555555"/>
          <w:sz w:val="18"/>
        </w:rPr>
        <w:t xml:space="preserve">Verordnung zur Festsetzung des Umlagesatzes für das Insolvenzgeld für das Kalenderjahr 2018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361 Nummer 1 des Dritten Buches Sozialgesetzbuch – Arbeitsförderung –, der zuletzt durch Artikel 448 der Verordnung vom 31. August 2015 (BGBl. I S. 1474) geändert worden ist, verordnet das Bundesministerium für Arbeit und Soziales im Einvernehmen mit dem Bundesministerium der Finanzen und dem Bundesministerium für Wirtschaft und Energie:</w:t>
      </w:r>
    </w:p>
    <w:p>
      <w:r>
        <w:rPr>
          <w:color w:val="555555"/>
          <w:sz w:val="17"/>
        </w:rPr>
        <w:t xml:space="preserve">Zitiervorschlag: Eingangsformel InsoGeldFestV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https://recht.nulegal.eu/gesetze/InsoGeldFestV%202018/eingangsformel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