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2018 — Inkrafttreten</w:t>
      </w:r>
    </w:p>
    <w:p>
      <w:r>
        <w:rPr>
          <w:color w:val="555555"/>
          <w:sz w:val="18"/>
        </w:rPr>
        <w:t xml:space="preserve">Verordnung zur Festsetzung des Umlagesatzes für das Insolvenzgeld für das Kalenderjahr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2018 in Kraft.</w:t>
      </w:r>
    </w:p>
    <w:p>
      <w:r>
        <w:rPr>
          <w:color w:val="555555"/>
          <w:sz w:val="17"/>
        </w:rPr>
        <w:t xml:space="preserve">Zitiervorschlag: § 2 InsoGeldFestV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