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InsoGeldFestV 2016</w:t>
      </w:r>
    </w:p>
    <w:p>
      <w:r>
        <w:rPr>
          <w:color w:val="555555"/>
          <w:sz w:val="18"/>
        </w:rPr>
        <w:t xml:space="preserve">Insolvenzgeldumlagesatzverordnung 2016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361 Nummer 1 des Dritten Buches Sozialgesetzbuch – Arbeitsförderung –, der zuletzt durch Artikel 448 der Verordnung vom 31. August 2015 (BGBl. I S. 1474) geändert worden ist, verordnet das Bundesministerium für Arbeit und Soziales im Einvernehmen mit dem Bundesministerium der Finanzen und dem Bundesministerium für Wirtschaft und Energie:</w:t>
      </w:r>
    </w:p>
    <w:p>
      <w:r>
        <w:rPr>
          <w:color w:val="555555"/>
          <w:sz w:val="17"/>
        </w:rPr>
        <w:t xml:space="preserve">Zitiervorschlag: Eingangsformel InsoGeldFestV 2016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https://recht.nulegal.eu/gesetze/InsoGeldFestV%202016/eingangsformel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