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InsoGeldFestV 2016 — Inkrafttreten</w:t>
      </w:r>
    </w:p>
    <w:p>
      <w:r>
        <w:rPr>
          <w:color w:val="555555"/>
          <w:sz w:val="18"/>
        </w:rPr>
        <w:t xml:space="preserve">Insolvenzgeldumlagesatzverordnung 2016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2016 in Kraft.</w:t>
      </w:r>
    </w:p>
    <w:p>
      <w:r>
        <w:rPr>
          <w:color w:val="555555"/>
          <w:sz w:val="17"/>
        </w:rPr>
        <w:t xml:space="preserve">Zitiervorschlag: § 2 InsoGeldFestV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https://recht.nulegal.eu/gesetze/InsoGeldFestV%202016/2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