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InsoGeldEinzPV</w:t>
      </w:r>
    </w:p>
    <w:p>
      <w:r>
        <w:rPr>
          <w:color w:val="555555"/>
          <w:sz w:val="18"/>
        </w:rPr>
        <w:t xml:space="preserve">Verordnung zur Höhe der Pauschale für die Kosten des Einzugs der Umlage für das Insolvenzgeld und der Prüfung der Arbeitgeber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361 Satz 1 Nr. 2 des Dritten Buches Sozialgesetzbuch – Arbeitsförderung – (Artikel 1 des Gesetzes vom 24. März 1997, BGBl. I S. 594, 595), der zuletzt durch Artikel 3 Nummer 2 des Gesetzes vom 30. Oktober 2008 (BGBl. I S. 2130) geändert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InsoGeldEinzPV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https://recht.nulegal.eu/gesetze/InsoGeldEinzPV/eingangsformel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