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InsoGeldEinzPV — Verteilung der Einzugskostenvergütung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Sozialversicherung für Landwirtschaft, Forsten und Gartenbau erhält jährlich 3 Prozent der Einzugskostenvergütung nach § 1 Abs. 1.</w:t>
      </w:r>
    </w:p>
    <w:p>
      <w:r>
        <w:t xml:space="preserve">(2) Der Spitzenverband Bund der GKV teilt die um den Betrag nach Absatz 1 verminderte Einzugskostenvergütung nach den Relationen der Mitgliederzahlen (AKV-Mitglieder) der Krankenkassen nach dem Stand vom 1. Dezember des Vorjahres auf und zahlt sie an die Krankenkassen aus.</w:t>
      </w:r>
    </w:p>
    <w:p>
      <w:r>
        <w:t xml:space="preserve">(3) Die um den Betrag nach § 4 Abs. 2 verminderten Ausgleichsbeträge nach § 1 Abs. 2 werden zwischen den Krankenkassen entsprechend den in Absatz 2 genannten Relationen aufgeteilt.</w:t>
      </w:r>
    </w:p>
    <w:p>
      <w:r>
        <w:rPr>
          <w:color w:val="555555"/>
          <w:sz w:val="17"/>
        </w:rPr>
        <w:t xml:space="preserve">Zitiervorschlag: § 2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