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InsoBekV — Anwendbares Recht</w:t>
      </w:r>
    </w:p>
    <w:p>
      <w:r>
        <w:rPr>
          <w:color w:val="555555"/>
          <w:sz w:val="18"/>
        </w:rPr>
        <w:t xml:space="preserve">Verordnung zu öffentlichen Bekanntmachungen in Insolvenzverfahren und Restrukturierungssachen im Internet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 bis 4 gelten entsprechend für den Datenabruf über das Unternehmensregister (§ 8b des Handelsgesetzbuchs).</w:t>
      </w:r>
    </w:p>
    <w:p>
      <w:r>
        <w:rPr>
          <w:color w:val="555555"/>
          <w:sz w:val="17"/>
        </w:rPr>
        <w:t xml:space="preserve">Zitiervorschlag: § 4a InsoBekV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https://recht.nulegal.eu/gesetze/InsoBekV/4a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