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InsoBekV — Löschungsfristen</w:t>
      </w:r>
    </w:p>
    <w:p>
      <w:r>
        <w:rPr>
          <w:color w:val="555555"/>
          <w:sz w:val="18"/>
        </w:rPr>
        <w:t xml:space="preserve">Verordnung zu öffentlichen Bekanntmachungen in Insolvenzverfahren und Restrukturierungssachen im Internet</w:t>
      </w:r>
    </w:p>
    <w:p>
      <w:r>
        <w:rPr>
          <w:color w:val="555555"/>
          <w:sz w:val="18"/>
        </w:rPr>
        <w:t xml:space="preserve">Stand: 17.07.2022 (konsolidierte Textfassung, kein amtliches Inkrafttretensdatum)</w:t>
      </w:r>
    </w:p>
    <w:p>
      <w:r>
        <w:t xml:space="preserve">(1) Die in einem elektronischen Informations- und Kommunikationssystem erfolgte Veröffentlichung von Daten aus einem Insolvenzverfahren einschließlich des Eröffnungsverfahrens wird spätestens sechs Monate nach der Aufhebung oder der Rechtskraft der Einstellung des Insolvenzverfahrens gelöscht. Wird das Verfahren nicht eröffnet, beginnt die Frist mit der Aufhebung der veröffentlichten Sicherungsmaßnahmen.</w:t>
      </w:r>
    </w:p>
    <w:p>
      <w:r>
        <w:t xml:space="preserve">(2) Für die Veröffentlichungen im Restschuldbefreiungsverfahren einschließlich des Beschlusses nach § 289 der Insolvenzordnung gilt Absatz 1 Satz 1 mit der Maßgabe, dass die Frist mit Rechtskraft der Entscheidung über die Restschuldbefreiung zu laufen beginnt.</w:t>
      </w:r>
    </w:p>
    <w:p>
      <w:r>
        <w:t xml:space="preserve">(3) Sonstige Veröffentlichungen nach der Insolvenzordnung werden einen Monat nach dem ersten Tag der Veröffentlichung gelöscht.</w:t>
      </w:r>
    </w:p>
    <w:p>
      <w:r>
        <w:t xml:space="preserve">(4) Die in einem elektronischen Informations- und Kommunikationssystem erfolgte Veröffentlichung von Daten aus einer Restrukturierungssache wird spätestens sechs Monate nach der Anordnung des jeweiligen Stabilisierungs- oder Restrukturierungsinstruments, bei Stabilisierungsanordnungen nach dem Ende ihrer Wirkungsdauer gelöscht.</w:t>
      </w:r>
    </w:p>
    <w:p>
      <w:r>
        <w:rPr>
          <w:color w:val="555555"/>
          <w:sz w:val="17"/>
        </w:rPr>
        <w:t xml:space="preserve">Zitiervorschlag: § 3 InsoBekV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https://recht.nulegal.eu/gesetze/InsoBekV/3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