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InsoBekV — Datensicherheit, Schutz vor Missbrauch</w:t>
      </w:r>
    </w:p>
    <w:p>
      <w:r>
        <w:rPr>
          <w:color w:val="555555"/>
          <w:sz w:val="18"/>
        </w:rPr>
        <w:t xml:space="preserve">Verordnung zu öffentlichen Bekanntmachungen in Insolvenzverfahren und Restrukturierungssachen im Internet</w:t>
      </w:r>
    </w:p>
    <w:p>
      <w:r>
        <w:rPr>
          <w:color w:val="555555"/>
          <w:sz w:val="18"/>
        </w:rPr>
        <w:t xml:space="preserve">Stand: 30.06.2021 (konsolidierte Textfassung, kein amtliches Inkrafttretensdatum)</w:t>
      </w:r>
    </w:p>
    <w:p>
      <w:r>
        <w:t xml:space="preserve">(1) Durch geeignete technische und organisatorische Maßnahmen ist sicherzustellen, dass die Daten</w:t>
      </w:r>
    </w:p>
    <w:p>
      <w:pPr>
        <w:ind w:left="420"/>
      </w:pPr>
      <w:r>
        <w:t xml:space="preserve">1. bei der elektronischen Übermittlung von dem Insolvenzgericht oder dem Insolvenzverwalter an die für die Veröffentlichung zuständige Stelle mindestens fortgeschritten elektronisch signiert werden,</w:t>
      </w:r>
    </w:p>
    <w:p>
      <w:pPr>
        <w:ind w:left="420"/>
      </w:pPr>
      <w:r>
        <w:t xml:space="preserve">2. während der Veröffentlichung unversehrt, vollständig und aktuell bleiben,</w:t>
      </w:r>
    </w:p>
    <w:p>
      <w:pPr>
        <w:ind w:left="420"/>
      </w:pPr>
      <w:r>
        <w:t xml:space="preserve">3. der Insolvenzverfahren, in denen der Schuldner eine natürliche Person ist, die keine selbständige wirtschaftliche Tätigkeit ausübt oder ausgeübt hat, spätestens nach dem Ablauf von zwei Wochen nach dem ersten Tag der Veröffentlichung nur noch abgerufen werden können, wenn die Abfrage den Sitz des Insolvenzgerichts und mindestens eine der folgenden Angaben enthält:</w:t>
      </w:r>
    </w:p>
    <w:p>
      <w:pPr>
        <w:ind w:left="780"/>
      </w:pPr>
      <w:r>
        <w:t xml:space="preserve">a) den Familiennamen,</w:t>
      </w:r>
    </w:p>
    <w:p>
      <w:pPr>
        <w:ind w:left="780"/>
      </w:pPr>
      <w:r>
        <w:t xml:space="preserve">b) den Wohnsitz des Schuldners oder</w:t>
      </w:r>
    </w:p>
    <w:p>
      <w:pPr>
        <w:ind w:left="780"/>
      </w:pPr>
      <w:r>
        <w:t xml:space="preserve">c) das Aktenzeichen des Insolvenzgerichts.</w:t>
      </w:r>
    </w:p>
    <w:p>
      <w:r>
        <w:t xml:space="preserve">Die Angaben nach Satz 1 Nummer 3 Buchstabe a bis c können unvollständig sein, sofern sie Unterscheidungskraft besitzen.</w:t>
      </w:r>
    </w:p>
    <w:p>
      <w:r>
        <w:t xml:space="preserve">(2) Als Ergebnis der Abfrage nach Absatz 1 Satz 2 darf zunächst nur eine Übersicht über die ermittelten Datensätze übermittelt werden, die nur die vollständigen Daten nach Absatz 1 Satz 1 Nummer 3 Buchstabe a bis c enthalten darf. Die übrigen nach der Insolvenzordnung zu veröffentlichenden Daten dürfen erst übermittelt werden, wenn der Nutzer den entsprechenden Datensatz aus der Übersicht ausgewählt hat.</w:t>
      </w:r>
    </w:p>
    <w:p>
      <w:r>
        <w:rPr>
          <w:color w:val="555555"/>
          <w:sz w:val="17"/>
        </w:rPr>
        <w:t xml:space="preserve">Zitiervorschlag: § 2 InsoBekV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https://recht.nulegal.eu/gesetze/InsoBekV/2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