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InsVV — Vorschuß</w:t>
      </w:r>
    </w:p>
    <w:p>
      <w:r>
        <w:rPr>
          <w:color w:val="555555"/>
          <w:sz w:val="18"/>
        </w:rPr>
        <w:t xml:space="preserve">Insolvenzrechtliche Vergütungsverordnung</w:t>
      </w:r>
    </w:p>
    <w:p>
      <w:r>
        <w:rPr>
          <w:color w:val="555555"/>
          <w:sz w:val="18"/>
        </w:rPr>
        <w:t xml:space="preserve">Stand: 10.06.2019 (konsolidierte Textfassung, kein amtliches Inkrafttretensdatum)</w:t>
      </w:r>
    </w:p>
    <w:p>
      <w:r>
        <w:t xml:space="preserve">Der Insolvenzverwalter kann aus der Insolvenzmasse einen Vorschuß auf die Vergütung und die Auslagen entnehmen, wenn das Insolvenzgericht zustimmt. Die Zustimmung soll erteilt werden, wenn das Insolvenzverfahren länger als sechs Monate dauert oder wenn besonders hohe Auslagen erforderlich werden. Sind die Kosten des Verfahrens nach § 4a der Insolvenzordnung gestundet, so bewilligt das Gericht einen Vorschuss, sofern die Voraussetzungen nach Satz 2 gegeben sind.</w:t>
      </w:r>
    </w:p>
    <w:p>
      <w:r>
        <w:rPr>
          <w:color w:val="555555"/>
          <w:sz w:val="17"/>
        </w:rPr>
        <w:t xml:space="preserve">Zitiervorschlag: § 9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