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InsVV — Nachtragsverteilung. Überwachung der Erfüllung eines Insolvenzplans</w:t>
      </w:r>
    </w:p>
    <w:p>
      <w:r>
        <w:rPr>
          <w:color w:val="555555"/>
          <w:sz w:val="18"/>
        </w:rPr>
        <w:t xml:space="preserve">Insolvenzrechtliche 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eine Nachtragsverteilung erhält der Insolvenzverwalter eine gesonderte Vergütung, die unter Berücksichtigung des Werts der nachträglich verteilten Insolvenzmasse nach billigem Ermessen festzusetzen ist. Satz 1 gilt nicht, wenn die Nachtragsverteilung voraussehbar war und schon bei der Festsetzung der Vergütung für das Insolvenzverfahren berücksichtigt worden ist.</w:t>
      </w:r>
    </w:p>
    <w:p>
      <w:r>
        <w:t xml:space="preserve">(2) Die Überwachung der Erfüllung eines Insolvenzplans nach den §§ 260 bis 269 der Insolvenzordnung wird gesondert vergütet. Die Vergütung ist unter Berücksichtigung des Umfangs der Tätigkeit nach billigem Ermessen festzusetzen.</w:t>
      </w:r>
    </w:p>
    <w:p>
      <w:r>
        <w:rPr>
          <w:color w:val="555555"/>
          <w:sz w:val="17"/>
        </w:rPr>
        <w:t xml:space="preserve">Zitiervorschlag: § 6 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https://recht.nulegal.eu/gesetze/InsVV/6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