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InsVV — Einsatz besonderer Sachkunde</w:t>
      </w:r>
    </w:p>
    <w:p>
      <w:r>
        <w:rPr>
          <w:color w:val="555555"/>
          <w:sz w:val="18"/>
        </w:rPr>
        <w:t xml:space="preserve">Insolvenzrechtliche Vergütungsverordnung</w:t>
      </w:r>
    </w:p>
    <w:p>
      <w:r>
        <w:rPr>
          <w:color w:val="555555"/>
          <w:sz w:val="18"/>
        </w:rPr>
        <w:t xml:space="preserve">Stand: 10.06.2019 (konsolidierte Textfassung, kein amtliches Inkrafttretensdatum)</w:t>
      </w:r>
    </w:p>
    <w:p>
      <w:r>
        <w:t xml:space="preserve">(1) Ist der Insolvenzverwalter als Rechtsanwalt zugelassen, so kann er für Tätigkeiten, die ein nicht als Rechtsanwalt zugelassener Verwalter angemessenerweise einem Rechtsanwalt übertragen hätte, nach Maßgabe des Rechtsanwaltsvergütungsgesetzes Gebühren und Auslagen gesondert aus der Insolvenzmasse entnehmen.</w:t>
      </w:r>
    </w:p>
    <w:p>
      <w:r>
        <w:t xml:space="preserve">(2) Ist der Verwalter Wirtschaftsprüfer oder Steuerberater oder besitzt er eine andere besondere Qualifikation, so gilt Absatz 1 entsprechend.</w:t>
      </w:r>
    </w:p>
    <w:p>
      <w:r>
        <w:rPr>
          <w:color w:val="555555"/>
          <w:sz w:val="17"/>
        </w:rPr>
        <w:t xml:space="preserve">Zitiervorschlag: § 5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