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InsVV — Überwachung der Obliegenheiten des Schuldners</w:t>
      </w:r>
    </w:p>
    <w:p>
      <w:r>
        <w:rPr>
          <w:color w:val="555555"/>
          <w:sz w:val="18"/>
        </w:rPr>
        <w:t xml:space="preserve">Insolvenzrechtliche Vergütungsverordnung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Hat der Treuhänder die Aufgabe, die Erfüllung der Obliegenheiten des Schuldners zu überwachen (§ 292 Abs. 2 der Insolvenzordnung), so erhält er eine zusätzliche Vergütung. Diese beträgt regelmäßig 50 Euro je Stunde.</w:t>
      </w:r>
    </w:p>
    <w:p>
      <w:r>
        <w:t xml:space="preserve">(2) Der Gesamtbetrag der zusätzlichen Vergütung darf den Gesamtbetrag der Vergütung nach § 14 nicht überschreiten. Die Gläubigerversammlung kann eine abweichende Regelung treffen.</w:t>
      </w:r>
    </w:p>
    <w:p>
      <w:r>
        <w:rPr>
          <w:color w:val="555555"/>
          <w:sz w:val="17"/>
        </w:rPr>
        <w:t xml:space="preserve">Zitiervorschlag: § 15 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https://recht.nulegal.eu/gesetze/InsVV/15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