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InsVV — Grundsatz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Vergütung des Treuhänders nach § 293 der Insolvenzordnung wird nach der Summe der Beträge berechnet, die auf Grund der Abtretungserklärung des Schuldners (§ 287 Abs. 2 der Insolvenzordnung) oder auf andere Weise zur Befriedigung der Gläubiger des Schuldners beim Treuhänder eingehen.</w:t>
      </w:r>
    </w:p>
    <w:p>
      <w:r>
        <w:t xml:space="preserve">(2) Der Treuhänder erhält</w:t>
      </w:r>
    </w:p>
    <w:p>
      <w:pPr>
        <w:ind w:left="420"/>
      </w:pPr>
      <w:r>
        <w:t xml:space="preserve">1. von den ersten 35 000 Euro 5 vom Hundert,</w:t>
      </w:r>
    </w:p>
    <w:p>
      <w:pPr>
        <w:ind w:left="420"/>
      </w:pPr>
      <w:r>
        <w:t xml:space="preserve">2. von dem Mehrbetrag bis 70 000 Euro 3 vom Hundert und</w:t>
      </w:r>
    </w:p>
    <w:p>
      <w:pPr>
        <w:ind w:left="420"/>
      </w:pPr>
      <w:r>
        <w:t xml:space="preserve">3. von dem darüber hinausgehenden Betrag 1 vom Hundert.</w:t>
      </w:r>
    </w:p>
    <w:p>
      <w:r>
        <w:t xml:space="preserve">(3) Die Vergütung beträgt mindestens 140 Euro für jedes Jahr der Tätigkeit des Treuhänders. Hat er die durch Abtretung eingehenden Beträge an mehr als 5 Gläubiger verteilt, so erhöht sich diese Vergütung je 5 Gläubiger um 70 Euro.</w:t>
      </w:r>
    </w:p>
    <w:p>
      <w:r>
        <w:rPr>
          <w:color w:val="555555"/>
          <w:sz w:val="17"/>
        </w:rPr>
        <w:t xml:space="preserve">Zitiervorschlag: § 14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