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InsVV — Vergütung des Sachwalters</w:t>
      </w:r>
    </w:p>
    <w:p>
      <w:r>
        <w:rPr>
          <w:color w:val="555555"/>
          <w:sz w:val="18"/>
        </w:rPr>
        <w:t xml:space="preserve">Insolvenzrechtliche Vergütungsverordnung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Der Sachwalter erhält in der Regel 60 vom Hundert der für den Insolvenzverwalter bestimmten Vergütung.</w:t>
      </w:r>
    </w:p>
    <w:p>
      <w:r>
        <w:t xml:space="preserve">(2) Eine den Regelsatz übersteigende Vergütung ist insbesondere festzusetzen, wenn das Insolvenzgericht gemäß § 277 Abs. 1 der Insolvenzordnung angeordnet hat, daß bestimmte Rechtsgeschäfte des Schuldners nur mit Zustimmung des Sachwalters wirksam sind.</w:t>
      </w:r>
    </w:p>
    <w:p>
      <w:r>
        <w:t xml:space="preserve">(3) § 8 Abs. 3 gilt mit der Maßgabe, daß an die Stelle des Betrags von 350 Euro der Betrag von 175 Euro tritt.</w:t>
      </w:r>
    </w:p>
    <w:p>
      <w:r>
        <w:rPr>
          <w:color w:val="555555"/>
          <w:sz w:val="17"/>
        </w:rPr>
        <w:t xml:space="preserve">Zitiervorschlag: § 12 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https://recht.nulegal.eu/gesetze/InsVV/12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