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InsVV — Vergütung des vorläufigen Insolvenzverwalters</w:t>
      </w:r>
    </w:p>
    <w:p>
      <w:r>
        <w:rPr>
          <w:color w:val="555555"/>
          <w:sz w:val="18"/>
        </w:rPr>
        <w:t xml:space="preserve">Insolvenzrechtliche Vergütungsverordnung</w:t>
      </w:r>
    </w:p>
    <w:p>
      <w:r>
        <w:rPr>
          <w:color w:val="555555"/>
          <w:sz w:val="18"/>
        </w:rPr>
        <w:t xml:space="preserve">Stand: 10.06.2019 (konsolidierte Textfassung, kein amtliches Inkrafttretensdatum)</w:t>
      </w:r>
    </w:p>
    <w:p>
      <w:r>
        <w:t xml:space="preserve">(1) Für die Berechnung der Vergütung des vorläufigen Insolvenzverwalters ist das Vermögen zugrunde zu legen, auf das sich seine Tätigkeit während des Eröffnungsverfahrens erstreckt. Vermögensgegenstände, an denen bei Verfahrenseröffnung Aus- oder Absonderungsrechte bestehen, werden dem Vermögen nach Satz 1 hinzugerechnet, sofern sich der vorläufige Insolvenzverwalter in erheblichem Umfang mit ihnen befasst. Sie bleiben unberücksichtigt, sofern der Schuldner die Gegenstände lediglich auf Grund eines Besitzüberlassungsvertrages in Besitz hat.</w:t>
      </w:r>
    </w:p>
    <w:p>
      <w:r>
        <w:t xml:space="preserve">(2) Wird die Festsetzung der Vergütung beantragt, bevor die von Absatz 1 Satz 1 erfassten Gegenstände veräußert wurden, ist das Insolvenzgericht spätestens mit Vorlage der Schlussrechnung auf eine Abweichung des tatsächlichen Werts von dem der Vergütung zugrunde liegenden Wert hinzuweisen, sofern die Wertdifferenz 20 vom Hundert bezogen auf die Gesamtheit dieser Gegenstände übersteigt.</w:t>
      </w:r>
    </w:p>
    <w:p>
      <w:r>
        <w:t xml:space="preserve">(3) Art, Dauer und der Umfang der Tätigkeit des vorläufigen Insolvenzverwalters sind bei der Festsetzung der Vergütung zu berücksichtigen.</w:t>
      </w:r>
    </w:p>
    <w:p>
      <w:r>
        <w:t xml:space="preserve">(4) Hat das Insolvenzgericht den vorläufigen Insolvenzverwalter als Sachverständigen beauftragt zu prüfen, ob ein Eröffnungsgrund vorliegt und welche Aussichten für eine Fortführung des Unternehmens des Schuldners bestehen, so erhält er gesondert eine Vergütung nach dem Justizvergütungs- und -entschädigungsgesetz.</w:t>
      </w:r>
    </w:p>
    <w:p>
      <w:r>
        <w:rPr>
          <w:color w:val="555555"/>
          <w:sz w:val="17"/>
        </w:rPr>
        <w:t xml:space="preserve">Zitiervorschlag: § 11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