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InsVV — Grundsatz</w:t>
      </w:r>
    </w:p>
    <w:p>
      <w:r>
        <w:rPr>
          <w:color w:val="555555"/>
          <w:sz w:val="18"/>
        </w:rPr>
        <w:t xml:space="preserve">Insolvenzrechtliche Vergütungsverordnung</w:t>
      </w:r>
    </w:p>
    <w:p>
      <w:r>
        <w:rPr>
          <w:color w:val="555555"/>
          <w:sz w:val="18"/>
        </w:rPr>
        <w:t xml:space="preserve">Stand: 01.01.2021 (konsolidierte Textfassung, kein amtliches Inkrafttretensdatum)</w:t>
      </w:r>
    </w:p>
    <w:p>
      <w:r>
        <w:t xml:space="preserve">Für die Vergütung des vorläufigen Insolvenzverwalters, des Sachwalters, des vorläufigen Sachwalters und des Insolvenzverwalters im Verbraucherinsolvenzverfahren gelten die Vorschriften des Ersten Abschnitts entsprechend, soweit in den §§ 11 bis 13 nichts anderes bestimmt ist.</w:t>
      </w:r>
    </w:p>
    <w:p>
      <w:r>
        <w:rPr>
          <w:color w:val="555555"/>
          <w:sz w:val="17"/>
        </w:rPr>
        <w:t xml:space="preserve">Zitiervorschlag: § 10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