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InsStatG — Übergangsregelung</w:t>
      </w:r>
    </w:p>
    <w:p>
      <w:r>
        <w:rPr>
          <w:color w:val="555555"/>
          <w:sz w:val="18"/>
        </w:rPr>
        <w:t xml:space="preserve">Insolvenzstatistikgesetz</w:t>
      </w:r>
    </w:p>
    <w:p>
      <w:r>
        <w:rPr>
          <w:color w:val="555555"/>
          <w:sz w:val="18"/>
        </w:rPr>
        <w:t xml:space="preserve">Stand: 01.01.2022 (konsolidierte Textfassung, kein amtliches Inkrafttretensdatum)</w:t>
      </w:r>
    </w:p>
    <w:p>
      <w:r>
        <w:t xml:space="preserve">(1) Die Insolvenzverwalter, Sachwalter und Treuhänder sind nach § 4 Absatz 1 auskunftspflichtig bezüglich der Angaben, die sich auf Insolvenzverfahren beziehen, die nach dem 31. Dezember 2008 eröffnet wurden.</w:t>
      </w:r>
    </w:p>
    <w:p>
      <w:r>
        <w:t xml:space="preserve">(2) Erfolgte die Einstellung oder Aufhebung des Insolvenzverfahrens oder die Ankündigung der Restschuldbefreiung nach dem 1. Januar 2009, aber vor dem Inkrafttreten dieses Gesetzes, sind die Angaben innerhalb von vier Monaten nach Inkrafttreten dieses Gesetzes zu übermitteln.</w:t>
      </w:r>
    </w:p>
    <w:p>
      <w:r>
        <w:t xml:space="preserve">(3) Die Amtsgerichte sind nach § 4c Absatz 1 auskunftspflichtig bezüglich der Angaben, die sich auf Restrukturierungssachen beziehen, in denen nach dem 31. Dezember 2021 eine Anzeige des Restrukturierungsvorhabens vorgenommen wurde.</w:t>
      </w:r>
    </w:p>
    <w:p>
      <w:r>
        <w:rPr>
          <w:color w:val="555555"/>
          <w:sz w:val="17"/>
        </w:rPr>
        <w:t xml:space="preserve">Zitiervorschlag: § 6 InsStatG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