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InsStatG — Nutzung der Insolvenzbekanntmachungen</w:t>
      </w:r>
    </w:p>
    <w:p>
      <w:r>
        <w:rPr>
          <w:color w:val="555555"/>
          <w:sz w:val="18"/>
        </w:rPr>
        <w:t xml:space="preserve">Insolvenzstatistikgesetz</w:t>
      </w:r>
    </w:p>
    <w:p>
      <w:r>
        <w:rPr>
          <w:color w:val="555555"/>
          <w:sz w:val="18"/>
        </w:rPr>
        <w:t xml:space="preserve">Stand: 01.01.2022 (konsolidierte Textfassung, kein amtliches Inkrafttretensdatum)</w:t>
      </w:r>
    </w:p>
    <w:p>
      <w:r>
        <w:t xml:space="preserve">Der Betreiber des elektronischen Informations- und Kommunikationssystems für öffentliche Bekanntmachungen in Insolvenzverfahren im Internet nach § 9 Absatz 1 der Insolvenzordnung sowie der Betreiber des elektronischen Informations- und Kommunikationssystems für öffentliche Bekanntmachungen in Restrukturierungssachen im Internet nach § 86 Absatz 1 des Unternehmensstabilisierungs- und -restrukturierungsgesetzes dürfen im Rahmen der technischen Möglichkeiten den statistischen Ämtern jeweils für ihren Zuständigkeitsbereich Daten über die öffentlichen Bekanntmachungen übermitteln. Die Übermittlung kann auch in einem Abrufverfahren erfolgen. Die übermittelten Daten dürfen nur für Zwecke der Plausibilisierung der Insolvenz- und Restrukturierungsstatistiken sowie zur Erfüllung von anderen gesetzlich festgelegten Aufgaben der amtlichen Statistik verwendet werden. Personenbezogene Daten, die für die Erfüllung dieser Aufgaben nicht erforderlich sind, sind nach dem Empfang der Daten zu löschen.</w:t>
      </w:r>
    </w:p>
    <w:p>
      <w:r>
        <w:rPr>
          <w:color w:val="555555"/>
          <w:sz w:val="17"/>
        </w:rPr>
        <w:t xml:space="preserve">Zitiervorschlag: § 5a InsStatG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https://recht.nulegal.eu/gesetze/InsStatG/5a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