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InsStatG — Veröffentlichung und Übermittlung</w:t>
      </w:r>
    </w:p>
    <w:p>
      <w:r>
        <w:rPr>
          <w:color w:val="555555"/>
          <w:sz w:val="18"/>
        </w:rPr>
        <w:t xml:space="preserve">Insolvenzstatistikgesetz</w:t>
      </w:r>
    </w:p>
    <w:p>
      <w:r>
        <w:rPr>
          <w:color w:val="555555"/>
          <w:sz w:val="18"/>
        </w:rPr>
        <w:t xml:space="preserve">Stand: 01.01.2022 (konsolidierte Textfassung, kein amtliches Inkrafttretensdatum)</w:t>
      </w:r>
    </w:p>
    <w:p>
      <w:r>
        <w:t xml:space="preserve">(1) Die statistischen Ämter dürfen Ergebnisse veröffentlichen, auch wenn Tabellenfelder nur einen einzigen Fall ausweisen, sofern diese Tabellenfelder keine Angaben zur Summe der Forderungen und zur Zahl der betroffenen Arbeitnehmer enthalten.</w:t>
      </w:r>
    </w:p>
    <w:p>
      <w:r>
        <w:t xml:space="preserve">(2) Für die Verwendung gegenüber den gesetzgebenden Körperschaften und für Zwecke der Planung, jedoch nicht für die Regelung von Einzelfällen, dürfen Tabellen mit statistischen Ergebnissen, auch wenn Tabellenfelder nur einen einzigen Fall ausweisen, vom Statistischen Bundesamt und den statistischen Ämtern der Länder an die fachlich zuständigen obersten Bundes- und Landesbehörden übermittelt werden.</w:t>
      </w:r>
    </w:p>
    <w:p>
      <w:r>
        <w:t xml:space="preserve">(3) Das Statistische Bundesamt übermittelt der Europäischen Kommission jährlich bis zum 31. Dezember des auf das Erhebungsjahr folgenden Kalenderjahres auf dem Übermittlungsformular nach Artikel 29 Absatz 7 der Richtlinie (EU) 2019/1023 des Europäischen Parlaments und des Rates vom 20. Juni 2019 über präventive Restrukturierungsrahmen, über Entschuldung und über Tätigkeitsverbote sowie über Maßnahmen zur Steigerung der Effizienz von Restrukturierungs-, Insolvenz- und Entschuldungsverfahren und zur Änderung der Richtlinie (EU) 2017/1132 (ABl. L 172 vom 26.6.2019, S. 18) die folgenden Daten über Insolvenz- und Restschuldbefreiungsverfahren sowie Restrukturierungssachen, aufgeschlüsselt nach jeder Verfahrensart:</w:t>
      </w:r>
    </w:p>
    <w:p>
      <w:pPr>
        <w:ind w:left="420"/>
      </w:pPr>
      <w:r>
        <w:t xml:space="preserve">1. die Zahl der eröffneten, anhängigen und beendeten Insolvenz- und Restschuldbefreiungsverfahren,</w:t>
      </w:r>
    </w:p>
    <w:p>
      <w:pPr>
        <w:ind w:left="420"/>
      </w:pPr>
      <w:r>
        <w:t xml:space="preserve">2. die durchschnittliche Dauer der Insolvenz- und Restschuldbefreiungsverfahren von der Verfahrenseröffnung bis zur Beendigung des Verfahrens,</w:t>
      </w:r>
    </w:p>
    <w:p>
      <w:pPr>
        <w:ind w:left="420"/>
      </w:pPr>
      <w:r>
        <w:t xml:space="preserve">3. die durchschnittlichen Befriedigungsquoten der befriedigten Absonderungsrechte und der quotenberechtigten Insolvenzgläubiger in Insolvenz- und Restschuldbefreiungsverfahren,</w:t>
      </w:r>
    </w:p>
    <w:p>
      <w:pPr>
        <w:ind w:left="420"/>
      </w:pPr>
      <w:r>
        <w:t xml:space="preserve">4. die durchschnittlichen Kosten in Insolvenz- und Restschuldbefreiungsverfahren,</w:t>
      </w:r>
    </w:p>
    <w:p>
      <w:pPr>
        <w:ind w:left="420"/>
      </w:pPr>
      <w:r>
        <w:t xml:space="preserve">5. die Zahl der angezeigten und anhängigen Restrukturierungssachen sowie die Zahl der Restrukturierungssachen, in denen die Anzeige ihre Wirkung verloren hat,</w:t>
      </w:r>
    </w:p>
    <w:p>
      <w:pPr>
        <w:ind w:left="420"/>
      </w:pPr>
      <w:r>
        <w:t xml:space="preserve">6. die durchschnittliche Dauer der Restrukturierungssachen von der Anzeige des Restrukturierungsvorhabens bis die Anzeige ihre Wirkung verloren hat,</w:t>
      </w:r>
    </w:p>
    <w:p>
      <w:pPr>
        <w:ind w:left="420"/>
      </w:pPr>
      <w:r>
        <w:t xml:space="preserve">7. die durchschnittlichen Befriedigungsquoten der Inhaber von Absonderungsanwartschaften und Restrukturierungsforderungen in Restrukturierungssachen,</w:t>
      </w:r>
    </w:p>
    <w:p>
      <w:pPr>
        <w:ind w:left="420"/>
      </w:pPr>
      <w:r>
        <w:t xml:space="preserve">8. die durchschnittlichen Kosten in Restrukturierungssachen,</w:t>
      </w:r>
    </w:p>
    <w:p>
      <w:pPr>
        <w:ind w:left="420"/>
      </w:pPr>
      <w:r>
        <w:t xml:space="preserve">9. die Zahl der Restrukturierungssachen, in denen die Anzeige des Restrukturierungsvorhabens zurückgenommen, die Bestätigung des Restrukturierungsplans rechtskräftig versagt oder die Restrukturierungssache aufgehoben worden ist oder die Anzeige des Restrukturierungsvorhabens ihre Wirkung kraft Zeitablaufs verloren hat,</w:t>
      </w:r>
    </w:p>
    <w:p>
      <w:pPr>
        <w:ind w:left="420"/>
      </w:pPr>
      <w:r>
        <w:t xml:space="preserve">10. die Zahl der Schuldner, die Gegenstand eines Insolvenzverfahrens oder einer Restrukturierungssache waren und in den letzten drei Jahren vor der Eröffnung des Insolvenzverfahrens oder vor Anzeige des Restrukturierungsvorhabens die Bestätigung eines Restrukturierungsplans in einer Restrukturierungssache erlangt haben.</w:t>
      </w:r>
    </w:p>
    <w:p>
      <w:r>
        <w:t xml:space="preserve">(4) Die nach Absatz 3 Nummer 1 bis 8 zu übermittelnden Daten sind ferner aufzuschlüsseln:</w:t>
      </w:r>
    </w:p>
    <w:p>
      <w:pPr>
        <w:ind w:left="420"/>
      </w:pPr>
      <w:r>
        <w:t xml:space="preserve">1. nach Größe der Schuldner, die keine natürlichen Personen sind, gemäß der Zahl der Arbeitnehmer,</w:t>
      </w:r>
    </w:p>
    <w:p>
      <w:pPr>
        <w:ind w:left="420"/>
      </w:pPr>
      <w:r>
        <w:t xml:space="preserve">2. danach, ob die Schuldner in Insolvenzverfahren oder Restrukturierungssachen natürliche oder juristische Personen sind,</w:t>
      </w:r>
    </w:p>
    <w:p>
      <w:pPr>
        <w:ind w:left="420"/>
      </w:pPr>
      <w:r>
        <w:t xml:space="preserve">3. danach, ob das Restschuldbefreiungsverfahren nur Unternehmer oder sonstige natürliche Personen betrifft.</w:t>
      </w:r>
    </w:p>
    <w:p>
      <w:r>
        <w:t xml:space="preserve">Die Übermittlung nach Absatz 3 erfolgt erstmals für das Erhebungsjahr, das dem Tag der erstmaligen Anwendung des Durchführungsrechtsaktes nach Artikel 29 Absatz 7 der Richtlinie (EU) 2019/1023 folgt.</w:t>
      </w:r>
    </w:p>
    <w:p>
      <w:r>
        <w:rPr>
          <w:color w:val="555555"/>
          <w:sz w:val="17"/>
        </w:rPr>
        <w:t xml:space="preserve">Zitiervorschlag: § 5 InsStatG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https://recht.nulegal.eu/gesetze/InsStatG/5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