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InsStatG — Hilfsmerkmale in Restrukturierungssachen</w:t>
      </w:r>
    </w:p>
    <w:p>
      <w:r>
        <w:rPr>
          <w:color w:val="555555"/>
          <w:sz w:val="18"/>
        </w:rPr>
        <w:t xml:space="preserve">Insolvenzstatistikgesetz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Hilfsmerkmale der Erhebungen sind:</w:t>
      </w:r>
    </w:p>
    <w:p>
      <w:pPr>
        <w:ind w:left="420"/>
      </w:pPr>
      <w:r>
        <w:t xml:space="preserve">1. Datum der Verfahrenshandlungen nach § 4a,</w:t>
      </w:r>
    </w:p>
    <w:p>
      <w:pPr>
        <w:ind w:left="420"/>
      </w:pPr>
      <w:r>
        <w:t xml:space="preserve">2. Name oder Firma und Anschrift oder Mittelpunkt der selbständigen wirtschaftlichen Tätigkeit des Schuldners,</w:t>
      </w:r>
    </w:p>
    <w:p>
      <w:pPr>
        <w:ind w:left="420"/>
      </w:pPr>
      <w:r>
        <w:t xml:space="preserve">3. Umsatzsteuernummer,</w:t>
      </w:r>
    </w:p>
    <w:p>
      <w:pPr>
        <w:ind w:left="420"/>
      </w:pPr>
      <w:r>
        <w:t xml:space="preserve">4. Name, Nummer und Aktenzeichen des Amtsgerichts,</w:t>
      </w:r>
    </w:p>
    <w:p>
      <w:pPr>
        <w:ind w:left="420"/>
      </w:pPr>
      <w:r>
        <w:t xml:space="preserve">5. Name und Kontaktdaten der für eventuelle Rückfragen zur Verfügung stehenden Personen,</w:t>
      </w:r>
    </w:p>
    <w:p>
      <w:pPr>
        <w:ind w:left="420"/>
      </w:pPr>
      <w:r>
        <w:t xml:space="preserve">6. bei Schuldnern, die im Handels-, Genossenschafts-, Gesellschafts-, Partnerschafts- oder Vereinsregister eingetragen sind, die Art und der Ort des Registers und die Nummer der Eintragung.</w:t>
      </w:r>
    </w:p>
    <w:p>
      <w:r>
        <w:rPr>
          <w:color w:val="555555"/>
          <w:sz w:val="17"/>
        </w:rPr>
        <w:t xml:space="preserve">Zitiervorschlag: § 4b InsStatG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https://recht.nulegal.eu/gesetze/InsStatG/4b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