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InsStatG — Erhebungsmerkmale in Restrukturierungssachen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Erhebungen erfassen folgende Erhebungsmerkmale:</w:t>
      </w:r>
    </w:p>
    <w:p>
      <w:pPr>
        <w:ind w:left="420"/>
      </w:pPr>
      <w:r>
        <w:t xml:space="preserve">1. bei Anzeige des Restrukturierungsvorhabens:</w:t>
      </w:r>
    </w:p>
    <w:p>
      <w:pPr>
        <w:ind w:left="780"/>
      </w:pPr>
      <w:r>
        <w:t xml:space="preserve">a) Datum der Anzeige,</w:t>
      </w:r>
    </w:p>
    <w:p>
      <w:pPr>
        <w:ind w:left="780"/>
      </w:pPr>
      <w:r>
        <w:t xml:space="preserve">b) Art des Rechtsträgers oder der Vermögensmasse (Schuldner); zusätzlich Rechtsform, Geschäftszweig, Jahr der Gründung, Zahl der Arbeitnehmer und die Eintragung in das Handels-, Genossenschafts-, Gesellschafts-, Partnerschafts- oder Vereinsregister,</w:t>
      </w:r>
    </w:p>
    <w:p>
      <w:pPr>
        <w:ind w:left="780"/>
      </w:pPr>
      <w:r>
        <w:t xml:space="preserve">c) ob der Schuldner in den letzten drei Jahren vor der Anzeige des Restrukturierungsvorhabens die Bestätigung eines Restrukturierungsplans in einer Restrukturierungssache erwirkt hat;</w:t>
      </w:r>
    </w:p>
    <w:p>
      <w:pPr>
        <w:ind w:left="420"/>
      </w:pPr>
      <w:r>
        <w:t xml:space="preserve">2. bei Verlust der Wirkung der Anzeige des Restrukturierungsvorhabens:</w:t>
      </w:r>
    </w:p>
    <w:p>
      <w:pPr>
        <w:ind w:left="780"/>
      </w:pPr>
      <w:r>
        <w:t xml:space="preserve">a) Bestätigung oder Versagung der Bestätigung des Restrukturierungsplans und Datum der Rechtskraft der Bestätigung oder Versagung,</w:t>
      </w:r>
    </w:p>
    <w:p>
      <w:pPr>
        <w:ind w:left="780"/>
      </w:pPr>
      <w:r>
        <w:t xml:space="preserve">b) Höhe der befriedigten Anwartschaften und die Höhe der nicht befriedigten Anwartschaften der Inhaber von Absonderungsanwartschaften gemäß dem rechtskräftig bestätigten Restrukturierungsplan,</w:t>
      </w:r>
    </w:p>
    <w:p>
      <w:pPr>
        <w:ind w:left="780"/>
      </w:pPr>
      <w:r>
        <w:t xml:space="preserve">c) Summe der Forderungen von Restrukturierungsgläubigern und die Höhe des zur Verteilung verfügbaren Betrages gemäß dem rechtskräftig bestätigten Restrukturierungsplan,</w:t>
      </w:r>
    </w:p>
    <w:p>
      <w:pPr>
        <w:ind w:left="780"/>
      </w:pPr>
      <w:r>
        <w:t xml:space="preserve">d) Rücknahme der Anzeige und Datum der Rücknahme,</w:t>
      </w:r>
    </w:p>
    <w:p>
      <w:pPr>
        <w:ind w:left="780"/>
      </w:pPr>
      <w:r>
        <w:t xml:space="preserve">e) Aufhebung der Restrukturierungssache und Datum der Aufhebung,</w:t>
      </w:r>
    </w:p>
    <w:p>
      <w:pPr>
        <w:ind w:left="780"/>
      </w:pPr>
      <w:r>
        <w:t xml:space="preserve">f) Datum, zu dem die Anzeige ihre Wirkung kraft Zeitablaufs verloren hat;</w:t>
      </w:r>
    </w:p>
    <w:p>
      <w:pPr>
        <w:ind w:left="420"/>
      </w:pPr>
      <w:r>
        <w:t xml:space="preserve">3. bei Kostenfestsetzung:</w:t>
      </w:r>
    </w:p>
    <w:p>
      <w:pPr>
        <w:ind w:left="780"/>
      </w:pPr>
      <w:r>
        <w:t xml:space="preserve">a) festgesetzte Höhe der Gerichtskosten sowie der Vergütungen und Auslagen eines Restrukturierungsbeauftragten und Sanierungsmoderators,</w:t>
      </w:r>
    </w:p>
    <w:p>
      <w:pPr>
        <w:ind w:left="780"/>
      </w:pPr>
      <w:r>
        <w:t xml:space="preserve">b) Datum der Festsetzung.</w:t>
      </w:r>
    </w:p>
    <w:p>
      <w:r>
        <w:rPr>
          <w:color w:val="555555"/>
          <w:sz w:val="17"/>
        </w:rPr>
        <w:t xml:space="preserve">Zitiervorschlag: § 4a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