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InsStatG — Erhebungsmerkmale in Insolvenzverfahren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Erhebungen erfassen folgende Erhebungsmerkmale:</w:t>
      </w:r>
    </w:p>
    <w:p>
      <w:pPr>
        <w:ind w:left="420"/>
      </w:pPr>
      <w:r>
        <w:t xml:space="preserve">1. bei Stellung des Antrags auf Eröffnung des Insolvenzverfahrens:</w:t>
      </w:r>
    </w:p>
    <w:p>
      <w:pPr>
        <w:ind w:left="780"/>
      </w:pPr>
      <w:r>
        <w:t xml:space="preserve">a) Datum der Antragstellung,</w:t>
      </w:r>
    </w:p>
    <w:p>
      <w:pPr>
        <w:ind w:left="780"/>
      </w:pPr>
      <w:r>
        <w:t xml:space="preserve">b) Antragsteller,</w:t>
      </w:r>
    </w:p>
    <w:p>
      <w:pPr>
        <w:ind w:left="780"/>
      </w:pPr>
      <w:r>
        <w:t xml:space="preserve">c) Schuldner, die in den letzten drei Jahren vor dem Antrag auf Eröffnung des Insolvenzverfahrens die Bestätigung eines Restrukturierungsplans in einer Restrukturierungssache erlangt haben;</w:t>
      </w:r>
    </w:p>
    <w:p>
      <w:pPr>
        <w:ind w:left="420"/>
      </w:pPr>
      <w:r>
        <w:t xml:space="preserve">2. bei Eröffnung des Insolvenzverfahrens oder dessen Abweisung mangels Masse:</w:t>
      </w:r>
    </w:p>
    <w:p>
      <w:pPr>
        <w:ind w:left="780"/>
      </w:pPr>
      <w:r>
        <w:t xml:space="preserve">a) Art des Verfahrens und des internationalen Bezugs,</w:t>
      </w:r>
    </w:p>
    <w:p>
      <w:pPr>
        <w:ind w:left="780"/>
      </w:pPr>
      <w:r>
        <w:t xml:space="preserve">b) Art des Rechtsträgers oder der Vermögensmasse (Schuldner); bei Unternehmen zusätzlich Rechtsform, Geschäftszweig, Jahr der Gründung, Zahl der betroffenen Arbeitnehmer und die Eintragung in das Handels-, Genossenschafts-, Gesellschafts-, Partnerschafts- oder Vereinsregister,</w:t>
      </w:r>
    </w:p>
    <w:p>
      <w:pPr>
        <w:ind w:left="780"/>
      </w:pPr>
      <w:r>
        <w:t xml:space="preserve">c) Datum der Verfahrenseröffnung,</w:t>
      </w:r>
    </w:p>
    <w:p>
      <w:pPr>
        <w:ind w:left="780"/>
      </w:pPr>
      <w:r>
        <w:t xml:space="preserve">d) Eröffnungsgrund,</w:t>
      </w:r>
    </w:p>
    <w:p>
      <w:pPr>
        <w:ind w:left="780"/>
      </w:pPr>
      <w:r>
        <w:t xml:space="preserve">e) Anordnung oder Ablehnung der Eigenverwaltung,</w:t>
      </w:r>
    </w:p>
    <w:p>
      <w:pPr>
        <w:ind w:left="780"/>
      </w:pPr>
      <w:r>
        <w:t xml:space="preserve">f) voraussichtliche Summe der Forderungen;</w:t>
      </w:r>
    </w:p>
    <w:p>
      <w:pPr>
        <w:ind w:left="420"/>
      </w:pPr>
      <w:r>
        <w:t xml:space="preserve">3. bei Annahme eines Schuldenbereinigungsplans, bei Eröffnung eines Verbraucherinsolvenzverfahrens oder bei der Abweisung des Antrags auf Eröffnung eines solchen Verfahrens mangels Masse:</w:t>
      </w:r>
    </w:p>
    <w:p>
      <w:pPr>
        <w:ind w:left="780"/>
      </w:pPr>
      <w:r>
        <w:t xml:space="preserve">a) Summe der Forderungen,</w:t>
      </w:r>
    </w:p>
    <w:p>
      <w:pPr>
        <w:ind w:left="780"/>
      </w:pPr>
      <w:r>
        <w:t xml:space="preserve">b) geschätzte Summe der zu erbringenden Leistungen;</w:t>
      </w:r>
    </w:p>
    <w:p>
      <w:pPr>
        <w:ind w:left="420"/>
      </w:pPr>
      <w:r>
        <w:t xml:space="preserve">4. bei Einstellung oder Aufhebung des Insolvenzverfahrens:</w:t>
      </w:r>
    </w:p>
    <w:p>
      <w:pPr>
        <w:ind w:left="780"/>
      </w:pPr>
      <w:r>
        <w:t xml:space="preserve">a) Art der erfolgten Beendigung des Verfahrens,</w:t>
      </w:r>
    </w:p>
    <w:p>
      <w:pPr>
        <w:ind w:left="780"/>
      </w:pPr>
      <w:r>
        <w:t xml:space="preserve">b) Höhe der befriedigten Absonderungsrechte und die Höhe der nicht befriedigten Absonderungsrechte,</w:t>
      </w:r>
    </w:p>
    <w:p>
      <w:pPr>
        <w:ind w:left="780"/>
      </w:pPr>
      <w:r>
        <w:t xml:space="preserve">c) Höhe der quotenberechtigten Insolvenzforderungen und Höhe des zur Verteilung an die Insolvenzgläubiger verfügbaren Betrags, bei öffentlich-rechtlichen Insolvenzgläubigern zusätzlich deren jeweiliger Anteil,</w:t>
      </w:r>
    </w:p>
    <w:p>
      <w:pPr>
        <w:ind w:left="780"/>
      </w:pPr>
      <w:r>
        <w:t xml:space="preserve">d) Angaben zur Betriebsfortführung, zum Sanierungserfolg und zur Eigenverwaltung,</w:t>
      </w:r>
    </w:p>
    <w:p>
      <w:pPr>
        <w:ind w:left="780"/>
      </w:pPr>
      <w:r>
        <w:t xml:space="preserve">e) Angaben über die Vorfinanzierung von Arbeitsentgelt im Rahmen der Gewährung von Insolvenzgeld,</w:t>
      </w:r>
    </w:p>
    <w:p>
      <w:pPr>
        <w:ind w:left="780"/>
      </w:pPr>
      <w:r>
        <w:t xml:space="preserve">f) Datum der Einreichung des Schlussberichts bei Gericht,</w:t>
      </w:r>
    </w:p>
    <w:p>
      <w:pPr>
        <w:ind w:left="780"/>
      </w:pPr>
      <w:r>
        <w:t xml:space="preserve">g) Angaben über Abschlagsverteilungen,</w:t>
      </w:r>
    </w:p>
    <w:p>
      <w:pPr>
        <w:ind w:left="780"/>
      </w:pPr>
      <w:r>
        <w:t xml:space="preserve">h) Datum der Beendigung des Verfahrens;</w:t>
      </w:r>
    </w:p>
    <w:p>
      <w:pPr>
        <w:ind w:left="420"/>
      </w:pPr>
      <w:r>
        <w:t xml:space="preserve">5. bei Restschuldbefreiung:</w:t>
      </w:r>
    </w:p>
    <w:p>
      <w:pPr>
        <w:ind w:left="780"/>
      </w:pPr>
      <w:r>
        <w:t xml:space="preserve">a) Ankündigung der Restschuldbefreiung,</w:t>
      </w:r>
    </w:p>
    <w:p>
      <w:pPr>
        <w:ind w:left="780"/>
      </w:pPr>
      <w:r>
        <w:t xml:space="preserve">b) Entscheidung über die Restschuldbefreiung und das Datum der Entscheidung,</w:t>
      </w:r>
    </w:p>
    <w:p>
      <w:pPr>
        <w:ind w:left="780"/>
      </w:pPr>
      <w:r>
        <w:t xml:space="preserve">c) bei Versagung der Restschuldbefreiung das Datum und die Gründe für die Versagung,</w:t>
      </w:r>
    </w:p>
    <w:p>
      <w:pPr>
        <w:ind w:left="780"/>
      </w:pPr>
      <w:r>
        <w:t xml:space="preserve">d) Widerruf der erteilten Restschuldbefreiung und das Datum des Widerrufs,</w:t>
      </w:r>
    </w:p>
    <w:p>
      <w:pPr>
        <w:ind w:left="780"/>
      </w:pPr>
      <w:r>
        <w:t xml:space="preserve">e) Sonstige Beendigung des Verfahrens und das Datum der sonstigen Beendigung,</w:t>
      </w:r>
    </w:p>
    <w:p>
      <w:pPr>
        <w:ind w:left="780"/>
      </w:pPr>
      <w:r>
        <w:t xml:space="preserve">f) Höhe des zur Verteilung an die Insolvenzgläubiger verfügbaren Betrages, bei öffentlich-rechtlichen Insolvenzgläubigern zusätzlich deren jeweiliger Anteil;</w:t>
      </w:r>
    </w:p>
    <w:p>
      <w:pPr>
        <w:ind w:left="420"/>
      </w:pPr>
      <w:r>
        <w:t xml:space="preserve">6. bei Kostenfestsetzung:</w:t>
      </w:r>
    </w:p>
    <w:p>
      <w:pPr>
        <w:ind w:left="780"/>
      </w:pPr>
      <w:r>
        <w:t xml:space="preserve">a) festgesetzte Höhe der Gerichtskosten sowie der Vergütungen und Auslagen von Insolvenzverwalter, Sachwalter, Treuhänder und Mitgliedern des Gläubigerausschusses,</w:t>
      </w:r>
    </w:p>
    <w:p>
      <w:pPr>
        <w:ind w:left="780"/>
      </w:pPr>
      <w:r>
        <w:t xml:space="preserve">b) Datum der Festsetzung.</w:t>
      </w:r>
    </w:p>
    <w:p>
      <w:r>
        <w:rPr>
          <w:color w:val="555555"/>
          <w:sz w:val="17"/>
        </w:rPr>
        <w:t xml:space="preserve">Zitiervorschlag: § 2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