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InsStatG — Insolvenz- und Restrukturierungsstatistik</w:t>
      </w:r>
    </w:p>
    <w:p>
      <w:r>
        <w:rPr>
          <w:color w:val="555555"/>
          <w:sz w:val="18"/>
        </w:rPr>
        <w:t xml:space="preserve">Insolvenzstatistikgesetz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Für wirtschaftspolitische Planungsentscheidungen werden über Insolvenzverfahren und Restrukturierungssachen monatliche und jährliche Erhebungen als Bundesstatistik durchgeführt.</w:t>
      </w:r>
    </w:p>
    <w:p>
      <w:r>
        <w:rPr>
          <w:color w:val="555555"/>
          <w:sz w:val="17"/>
        </w:rPr>
        <w:t xml:space="preserve">Zitiervorschlag: § 1 InsStatG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https://recht.nulegal.eu/gesetze/InsStatG/1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