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InsO — Postsperre</w:t>
      </w:r>
    </w:p>
    <w:p>
      <w:r>
        <w:rPr>
          <w:color w:val="555555"/>
          <w:sz w:val="18"/>
        </w:rPr>
        <w:t xml:space="preserve">Insolvenzordnung</w:t>
      </w:r>
    </w:p>
    <w:p>
      <w:r>
        <w:rPr>
          <w:color w:val="555555"/>
          <w:sz w:val="18"/>
        </w:rPr>
        <w:t xml:space="preserve">Stand: 10.06.2019 (konsolidierte Textfassung, kein amtliches Inkrafttretensdatum)</w:t>
      </w:r>
    </w:p>
    <w:p>
      <w:r>
        <w:t xml:space="preserve">(1) Soweit dies erforderlich erscheint, um für die Gläubiger nachteilige Rechtshandlungen des Schuldners aufzuklären oder zu verhindern, ordnet das Insolvenzgericht auf Antrag des Insolvenzverwalters oder von Amts wegen durch begründeten Beschluß an, dass die in dem Beschluss bezeichneten Unternehmen bestimmte oder alle Postsendungen für den Schuldner dem Verwalter zuzuleiten haben. Die Anordnung ergeht nach Anhörung des Schuldners, sofern dadurch nicht wegen besonderer Umstände des Einzelfalls der Zweck der Anordnung gefährdet wird. Unterbleibt die vorherige Anhörung des Schuldners, so ist dies in dem Beschluß gesondert zu begründen und die Anhörung unverzüglich nachzuholen.</w:t>
      </w:r>
    </w:p>
    <w:p>
      <w:r>
        <w:t xml:space="preserve">(2) Der Verwalter ist berechtigt, die ihm zugeleiteten Sendungen zu öffnen. Sendungen, deren Inhalt nicht die Insolvenzmasse betrifft, sind dem Schuldner unverzüglich zuzuleiten. Die übrigen Sendungen kann der Schuldner einsehen.</w:t>
      </w:r>
    </w:p>
    <w:p>
      <w:r>
        <w:t xml:space="preserve">(3) Gegen die Anordnung der Postsperre steht dem Schuldner die sofortige Beschwerde zu. Das Gericht hat die Anordnung nach Anhörung des Verwalters aufzuheben, soweit ihre Voraussetzungen fortfallen.</w:t>
      </w:r>
    </w:p>
    <w:p>
      <w:r>
        <w:rPr>
          <w:color w:val="555555"/>
          <w:sz w:val="17"/>
        </w:rPr>
        <w:t xml:space="preserve">Zitiervorschlag: § 99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