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 InsO — Unzulässigkeit der Aufrechnung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Aufrechnung ist unzulässig,</w:t>
      </w:r>
    </w:p>
    <w:p>
      <w:pPr>
        <w:ind w:left="420"/>
      </w:pPr>
      <w:r>
        <w:t xml:space="preserve">1. wenn ein Insolvenzgläubiger erst nach der Eröffnung des Insolvenzverfahrens etwas zur Insolvenzmasse schuldig geworden ist,</w:t>
      </w:r>
    </w:p>
    <w:p>
      <w:pPr>
        <w:ind w:left="420"/>
      </w:pPr>
      <w:r>
        <w:t xml:space="preserve">2. wenn ein Insolvenzgläubiger seine Forderung erst nach der Eröffnung des Verfahrens von einem anderen Gläubiger erworben hat,</w:t>
      </w:r>
    </w:p>
    <w:p>
      <w:pPr>
        <w:ind w:left="420"/>
      </w:pPr>
      <w:r>
        <w:t xml:space="preserve">3. wenn ein Insolvenzgläubiger die Möglichkeit der Aufrechnung durch eine anfechtbare Rechtshandlung erlangt hat,</w:t>
      </w:r>
    </w:p>
    <w:p>
      <w:pPr>
        <w:ind w:left="420"/>
      </w:pPr>
      <w:r>
        <w:t xml:space="preserve">4. wenn ein Gläubiger, dessen Forderung aus dem freien Vermögen des Schuldners zu erfüllen ist, etwas zur Insolvenzmasse schuldet.</w:t>
      </w:r>
    </w:p>
    <w:p>
      <w:r>
        <w:t xml:space="preserve">(2) Absatz 1 sowie § 95 Abs. 1 Satz 3 stehen nicht der Verfügung über Finanzsicherheiten im Sinne des § 1 Abs. 17 des Kreditwesengesetzes oder der Verrechnung von Ansprüchen und Leistungen aus Zahlungsaufträgen, Aufträgen zwischen Zahlungsdienstleistern oder zwischengeschalteten Stellen oder Aufträgen zur Übertragung von Wertpapieren entgegen, die in Systeme im Sinne des § 1 Abs. 16 des Kreditwesengesetzes eingebracht wurden, das der Ausführung solcher Verträge dient, sofern die Verrechnung spätestens am Tage der Eröffnung des Insolvenzverfahrens erfolgt; ist der andere Teil ein Systembetreiber oder Teilnehmer in dem System, bestimmt sich der Tag der Eröffnung nach dem Geschäftstag im Sinne des § 1 Absatz 16b des Kreditwesengesetzes.</w:t>
      </w:r>
    </w:p>
    <w:p>
      <w:r>
        <w:rPr>
          <w:color w:val="555555"/>
          <w:sz w:val="17"/>
        </w:rPr>
        <w:t xml:space="preserve">Zitiervorschlag: § 96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