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InsO — Persönliche Haftung der Gesellschafter</w:t>
      </w:r>
    </w:p>
    <w:p>
      <w:r>
        <w:rPr>
          <w:color w:val="555555"/>
          <w:sz w:val="18"/>
        </w:rPr>
        <w:t xml:space="preserve">Insolvenzordnung</w:t>
      </w:r>
    </w:p>
    <w:p>
      <w:r>
        <w:rPr>
          <w:color w:val="555555"/>
          <w:sz w:val="18"/>
        </w:rPr>
        <w:t xml:space="preserve">Stand: 01.01.2024 (konsolidierte Textfassung, kein amtliches Inkrafttretensdatum)</w:t>
      </w:r>
    </w:p>
    <w:p>
      <w:r>
        <w:t xml:space="preserve">Ist das Insolvenzverfahren über das Vermögen einer rechtsfähigen Personengesellschaft oder einer Kommanditgesellschaft auf Aktien eröffnet, so kann die persönliche Haftung eines Gesellschafters für die Verbindlichkeiten der Gesellschaft während der Dauer des Insolvenzverfahrens nur vom Insolvenzverwalter geltend gemacht werden.</w:t>
      </w:r>
    </w:p>
    <w:p>
      <w:r>
        <w:rPr>
          <w:color w:val="555555"/>
          <w:sz w:val="17"/>
        </w:rPr>
        <w:t xml:space="preserve">Zitiervorschlag: § 93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