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InsO — Ausschluß sonstigen Rechtserwerbs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Rechte an den Gegenständen der Insolvenzmasse können nach der Eröffnung des Insolvenzverfahrens nicht wirksam erworben werden, auch wenn keine Verfügung des Schuldners und keine Zwangsvollstreckung für einen Insolvenzgläubiger zugrunde liegt.</w:t>
      </w:r>
    </w:p>
    <w:p>
      <w:r>
        <w:t xml:space="preserve">(2) Unberührt bleiben die §§ 878, 892, 893 des Bürgerlichen Gesetzbuchs, § 3 Abs. 3, §§ 16, 17 des Gesetzes über Rechte an eingetragenen Schiffen und Schiffsbauwerken, § 5 Abs. 3, §§ 16, 17 des Gesetzes über Rechte an Luftfahrzeugen und § 20 Abs. 3 der Schiffahrtsrechtlichen Verteilungsordnung.</w:t>
      </w:r>
    </w:p>
    <w:p>
      <w:r>
        <w:rPr>
          <w:color w:val="555555"/>
          <w:sz w:val="17"/>
        </w:rPr>
        <w:t xml:space="preserve">Zitiervorschlag: § 91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